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FD" w:rsidRDefault="009339FD" w:rsidP="00297C94">
      <w:pPr>
        <w:pStyle w:val="Titolo1"/>
        <w:spacing w:before="100" w:beforeAutospacing="1" w:after="100" w:afterAutospacing="1"/>
        <w:jc w:val="left"/>
      </w:pPr>
      <w:r w:rsidRPr="0007685E">
        <w:rPr>
          <w:noProof/>
          <w:lang w:val="it-IT" w:eastAsia="it-IT"/>
        </w:rPr>
        <w:drawing>
          <wp:inline distT="0" distB="0" distL="0" distR="0">
            <wp:extent cx="2127250" cy="680053"/>
            <wp:effectExtent l="0" t="0" r="0" b="0"/>
            <wp:docPr id="1" name="Picture 1" descr="\\main.oecd.org\Homedir1\Baucher_M\Desktop\OECD_TEXT_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.oecd.org\Homedir1\Baucher_M\Desktop\OECD_TEXT_2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25" cy="7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C8" w:rsidRPr="00937F7A" w:rsidRDefault="00937F7A" w:rsidP="00937F7A">
      <w:pPr>
        <w:pStyle w:val="Citazioneintensa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INFORMATION C</w:t>
      </w:r>
      <w:r w:rsidRPr="00937F7A">
        <w:rPr>
          <w:b/>
          <w:i w:val="0"/>
          <w:sz w:val="24"/>
          <w:szCs w:val="24"/>
        </w:rPr>
        <w:t>OLLECTION</w:t>
      </w:r>
    </w:p>
    <w:p w:rsidR="00463667" w:rsidRPr="00937F7A" w:rsidRDefault="00937F7A" w:rsidP="00937F7A">
      <w:pPr>
        <w:pStyle w:val="Citazioneintensa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PFASs and A</w:t>
      </w:r>
      <w:r w:rsidR="009B346E" w:rsidRPr="00937F7A">
        <w:rPr>
          <w:b/>
          <w:i w:val="0"/>
          <w:sz w:val="24"/>
          <w:szCs w:val="24"/>
        </w:rPr>
        <w:t>lternatives: Commercial Availability and Current Uses</w:t>
      </w:r>
      <w:r w:rsidR="00E53651">
        <w:rPr>
          <w:b/>
          <w:i w:val="0"/>
          <w:sz w:val="24"/>
          <w:szCs w:val="24"/>
        </w:rPr>
        <w:t xml:space="preserve"> in Coatings, Paints and Varnishes</w:t>
      </w:r>
    </w:p>
    <w:p w:rsidR="007F770B" w:rsidRDefault="002E5FD1" w:rsidP="007F770B">
      <w:pPr>
        <w:pStyle w:val="Num-DocParagraph"/>
        <w:spacing w:before="100" w:beforeAutospacing="1" w:after="100" w:afterAutospacing="1"/>
        <w:jc w:val="both"/>
        <w:rPr>
          <w:rFonts w:ascii="Times New Roman" w:hAnsi="Times New Roman" w:cs="Times New Roman"/>
          <w:lang w:val="en-GB" w:eastAsia="en-GB"/>
        </w:rPr>
      </w:pPr>
      <w:bookmarkStart w:id="0" w:name="OLE_LINK1"/>
      <w:bookmarkStart w:id="1" w:name="OLE_LINK2"/>
      <w:r w:rsidRPr="0027778D">
        <w:rPr>
          <w:rFonts w:ascii="Times New Roman" w:hAnsi="Times New Roman" w:cs="Times New Roman"/>
          <w:shd w:val="clear" w:color="auto" w:fill="FFFFFF"/>
          <w:lang w:val="en-GB"/>
        </w:rPr>
        <w:t>The goal of this questionnaire is to collect</w:t>
      </w:r>
      <w:r w:rsidRPr="0027778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 w:eastAsia="en-GB"/>
        </w:rPr>
        <w:t xml:space="preserve">information on </w:t>
      </w:r>
      <w:r w:rsidR="00070453">
        <w:rPr>
          <w:rFonts w:ascii="Times New Roman" w:hAnsi="Times New Roman" w:cs="Times New Roman"/>
          <w:lang w:val="en-GB" w:eastAsia="en-GB"/>
        </w:rPr>
        <w:t xml:space="preserve">current </w:t>
      </w:r>
      <w:r>
        <w:rPr>
          <w:rFonts w:ascii="Times New Roman" w:hAnsi="Times New Roman" w:cs="Times New Roman"/>
          <w:lang w:val="en-GB" w:eastAsia="en-GB"/>
        </w:rPr>
        <w:t xml:space="preserve">uses of </w:t>
      </w:r>
      <w:r w:rsidRPr="00126587">
        <w:rPr>
          <w:rFonts w:ascii="Times New Roman" w:hAnsi="Times New Roman" w:cs="Times New Roman"/>
          <w:lang w:val="en-GB" w:eastAsia="en-GB"/>
        </w:rPr>
        <w:t xml:space="preserve">alternatives to </w:t>
      </w:r>
      <w:r w:rsidR="00126587" w:rsidRPr="00126587">
        <w:rPr>
          <w:rFonts w:ascii="Times New Roman" w:hAnsi="Times New Roman" w:cs="Times New Roman"/>
          <w:color w:val="000000"/>
          <w:shd w:val="clear" w:color="auto" w:fill="FFFFFF"/>
        </w:rPr>
        <w:t xml:space="preserve">per- and </w:t>
      </w:r>
      <w:proofErr w:type="spellStart"/>
      <w:r w:rsidR="00126587" w:rsidRPr="00126587">
        <w:rPr>
          <w:rFonts w:ascii="Times New Roman" w:hAnsi="Times New Roman" w:cs="Times New Roman"/>
          <w:color w:val="000000"/>
          <w:shd w:val="clear" w:color="auto" w:fill="FFFFFF"/>
        </w:rPr>
        <w:t>polyfluoroalkyl</w:t>
      </w:r>
      <w:proofErr w:type="spellEnd"/>
      <w:r w:rsidR="00126587" w:rsidRPr="00126587">
        <w:rPr>
          <w:rFonts w:ascii="Times New Roman" w:hAnsi="Times New Roman" w:cs="Times New Roman"/>
          <w:color w:val="000000"/>
          <w:shd w:val="clear" w:color="auto" w:fill="FFFFFF"/>
        </w:rPr>
        <w:t xml:space="preserve"> substances (</w:t>
      </w:r>
      <w:r w:rsidRPr="00126587">
        <w:rPr>
          <w:rFonts w:ascii="Times New Roman" w:hAnsi="Times New Roman" w:cs="Times New Roman"/>
          <w:lang w:val="en-GB" w:eastAsia="en-GB"/>
        </w:rPr>
        <w:t>PFAS</w:t>
      </w:r>
      <w:r w:rsidR="00126587" w:rsidRPr="00126587">
        <w:rPr>
          <w:rFonts w:ascii="Times New Roman" w:hAnsi="Times New Roman" w:cs="Times New Roman"/>
          <w:lang w:val="en-GB" w:eastAsia="en-GB"/>
        </w:rPr>
        <w:t>)</w:t>
      </w:r>
      <w:r w:rsidR="00930CAF">
        <w:rPr>
          <w:rFonts w:ascii="Times New Roman" w:hAnsi="Times New Roman" w:cs="Times New Roman"/>
          <w:lang w:val="en-GB" w:eastAsia="en-GB"/>
        </w:rPr>
        <w:t xml:space="preserve"> in</w:t>
      </w:r>
      <w:r w:rsidR="00302F18">
        <w:rPr>
          <w:rFonts w:ascii="Times New Roman" w:hAnsi="Times New Roman" w:cs="Times New Roman"/>
          <w:lang w:val="en-GB" w:eastAsia="en-GB"/>
        </w:rPr>
        <w:t xml:space="preserve"> the production of</w:t>
      </w:r>
      <w:r w:rsidR="00930CAF">
        <w:rPr>
          <w:rFonts w:ascii="Times New Roman" w:hAnsi="Times New Roman" w:cs="Times New Roman"/>
          <w:lang w:val="en-GB" w:eastAsia="en-GB"/>
        </w:rPr>
        <w:t xml:space="preserve"> products</w:t>
      </w:r>
      <w:r w:rsidR="007F770B">
        <w:rPr>
          <w:rFonts w:ascii="Times New Roman" w:hAnsi="Times New Roman" w:cs="Times New Roman"/>
          <w:lang w:val="en-GB" w:eastAsia="en-GB"/>
        </w:rPr>
        <w:t xml:space="preserve"> in the sector of </w:t>
      </w:r>
      <w:r w:rsidR="007F770B" w:rsidRPr="00E53651">
        <w:rPr>
          <w:rFonts w:ascii="Times New Roman" w:hAnsi="Times New Roman" w:cs="Times New Roman"/>
          <w:b/>
          <w:lang w:val="en-GB" w:eastAsia="en-GB"/>
        </w:rPr>
        <w:t>coatings, paints and varnishes</w:t>
      </w:r>
      <w:r w:rsidR="004A211F">
        <w:rPr>
          <w:rFonts w:ascii="Times New Roman" w:hAnsi="Times New Roman" w:cs="Times New Roman"/>
          <w:b/>
          <w:vertAlign w:val="superscript"/>
          <w:lang w:val="en-GB" w:eastAsia="en-GB"/>
        </w:rPr>
        <w:t xml:space="preserve"> </w:t>
      </w:r>
      <w:r w:rsidR="004A211F">
        <w:rPr>
          <w:rFonts w:ascii="Times New Roman" w:hAnsi="Times New Roman" w:cs="Times New Roman"/>
          <w:lang w:val="en-GB" w:eastAsia="en-GB"/>
        </w:rPr>
        <w:t>(see annex for the detailed scope of the study)</w:t>
      </w:r>
      <w:r w:rsidR="007F770B">
        <w:rPr>
          <w:rFonts w:ascii="Times New Roman" w:hAnsi="Times New Roman" w:cs="Times New Roman"/>
          <w:lang w:val="en-GB" w:eastAsia="en-GB"/>
        </w:rPr>
        <w:t xml:space="preserve">. </w:t>
      </w:r>
      <w:r w:rsidR="004E427E">
        <w:rPr>
          <w:rFonts w:ascii="Times New Roman" w:hAnsi="Times New Roman" w:cs="Times New Roman"/>
          <w:lang w:val="en-GB" w:eastAsia="en-GB"/>
        </w:rPr>
        <w:t xml:space="preserve">Information collected through this questionnaire will be used to develop an OECD </w:t>
      </w:r>
      <w:r w:rsidR="004E427E" w:rsidRPr="00D3385E">
        <w:rPr>
          <w:rFonts w:ascii="Times New Roman" w:hAnsi="Times New Roman" w:cs="Times New Roman"/>
          <w:lang w:val="en-GB" w:eastAsia="en-GB"/>
        </w:rPr>
        <w:t>report on Commercial Av</w:t>
      </w:r>
      <w:r w:rsidR="004E427E">
        <w:rPr>
          <w:rFonts w:ascii="Times New Roman" w:hAnsi="Times New Roman" w:cs="Times New Roman"/>
          <w:lang w:val="en-GB" w:eastAsia="en-GB"/>
        </w:rPr>
        <w:t>ailability and Current Uses of A</w:t>
      </w:r>
      <w:r w:rsidR="004E427E" w:rsidRPr="00D3385E">
        <w:rPr>
          <w:rFonts w:ascii="Times New Roman" w:hAnsi="Times New Roman" w:cs="Times New Roman"/>
          <w:lang w:val="en-GB" w:eastAsia="en-GB"/>
        </w:rPr>
        <w:t>lternatives to PFASs</w:t>
      </w:r>
      <w:r w:rsidR="004E427E">
        <w:rPr>
          <w:rFonts w:ascii="Times New Roman" w:hAnsi="Times New Roman" w:cs="Times New Roman"/>
          <w:lang w:val="en-GB" w:eastAsia="en-GB"/>
        </w:rPr>
        <w:t>.</w:t>
      </w:r>
    </w:p>
    <w:p w:rsidR="00365433" w:rsidRDefault="00365433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For the purpose of this questionnaire, alternatives include:</w:t>
      </w:r>
    </w:p>
    <w:p w:rsidR="00365433" w:rsidRDefault="00365433" w:rsidP="00365433">
      <w:pPr>
        <w:pStyle w:val="Num-Doc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Chemical alternatives: short chains PFASs (</w:t>
      </w:r>
      <w:r w:rsidR="00D51212">
        <w:rPr>
          <w:rFonts w:ascii="Times New Roman" w:hAnsi="Times New Roman" w:cs="Times New Roman"/>
          <w:lang w:val="en-GB" w:eastAsia="en-GB"/>
        </w:rPr>
        <w:t xml:space="preserve">as </w:t>
      </w:r>
      <w:r>
        <w:rPr>
          <w:rFonts w:ascii="Times New Roman" w:hAnsi="Times New Roman" w:cs="Times New Roman"/>
          <w:lang w:val="en-GB" w:eastAsia="en-GB"/>
        </w:rPr>
        <w:t>alternatives to long chain PFASs)</w:t>
      </w:r>
      <w:r w:rsidR="002B137E">
        <w:rPr>
          <w:rStyle w:val="Rimandonotaapidipagina"/>
          <w:rFonts w:ascii="Times New Roman" w:hAnsi="Times New Roman" w:cs="Times New Roman"/>
          <w:lang w:val="en-GB" w:eastAsia="en-GB"/>
        </w:rPr>
        <w:footnoteReference w:id="1"/>
      </w:r>
      <w:r w:rsidR="002B137E">
        <w:rPr>
          <w:rFonts w:ascii="Times New Roman" w:hAnsi="Times New Roman" w:cs="Times New Roman"/>
          <w:lang w:val="en-GB" w:eastAsia="en-GB"/>
        </w:rPr>
        <w:t xml:space="preserve"> and non-fluorinated alternatives</w:t>
      </w:r>
      <w:r>
        <w:rPr>
          <w:rFonts w:ascii="Times New Roman" w:hAnsi="Times New Roman" w:cs="Times New Roman"/>
          <w:lang w:val="en-GB" w:eastAsia="en-GB"/>
        </w:rPr>
        <w:t xml:space="preserve">, </w:t>
      </w:r>
    </w:p>
    <w:p w:rsidR="00365433" w:rsidRDefault="00365433" w:rsidP="00365433">
      <w:pPr>
        <w:pStyle w:val="Num-Doc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Non chemical alternatives</w:t>
      </w:r>
      <w:r w:rsidR="007A2E4C">
        <w:rPr>
          <w:rStyle w:val="Rimandonotaapidipagina"/>
          <w:rFonts w:ascii="Times New Roman" w:hAnsi="Times New Roman" w:cs="Times New Roman"/>
          <w:lang w:val="en-GB" w:eastAsia="en-GB"/>
        </w:rPr>
        <w:footnoteReference w:id="2"/>
      </w:r>
      <w:r w:rsidR="000A643E">
        <w:rPr>
          <w:rFonts w:ascii="Times New Roman" w:hAnsi="Times New Roman" w:cs="Times New Roman"/>
          <w:lang w:val="en-GB" w:eastAsia="en-GB"/>
        </w:rPr>
        <w:t>, including technical alternatives.</w:t>
      </w:r>
    </w:p>
    <w:p w:rsidR="005752B6" w:rsidRPr="00365433" w:rsidRDefault="00302F18" w:rsidP="00365433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 w:rsidRPr="00365433">
        <w:rPr>
          <w:rFonts w:ascii="Times New Roman" w:hAnsi="Times New Roman" w:cs="Times New Roman"/>
          <w:lang w:val="en-GB" w:eastAsia="en-GB"/>
        </w:rPr>
        <w:t>T</w:t>
      </w:r>
      <w:r w:rsidR="005A6AC8" w:rsidRPr="00365433">
        <w:rPr>
          <w:rFonts w:ascii="Times New Roman" w:hAnsi="Times New Roman" w:cs="Times New Roman"/>
          <w:lang w:val="en-GB" w:eastAsia="en-GB"/>
        </w:rPr>
        <w:t xml:space="preserve">he information </w:t>
      </w:r>
      <w:r w:rsidRPr="00365433">
        <w:rPr>
          <w:rFonts w:ascii="Times New Roman" w:hAnsi="Times New Roman" w:cs="Times New Roman"/>
          <w:lang w:val="en-GB" w:eastAsia="en-GB"/>
        </w:rPr>
        <w:t>requested</w:t>
      </w:r>
      <w:r w:rsidR="005A6AC8" w:rsidRPr="00365433">
        <w:rPr>
          <w:rFonts w:ascii="Times New Roman" w:hAnsi="Times New Roman" w:cs="Times New Roman"/>
          <w:lang w:val="en-GB" w:eastAsia="en-GB"/>
        </w:rPr>
        <w:t xml:space="preserve"> in this questionnaire is </w:t>
      </w:r>
      <w:r w:rsidRPr="00365433">
        <w:rPr>
          <w:rFonts w:ascii="Times New Roman" w:hAnsi="Times New Roman" w:cs="Times New Roman"/>
          <w:lang w:val="en-GB" w:eastAsia="en-GB"/>
        </w:rPr>
        <w:t xml:space="preserve">likely </w:t>
      </w:r>
      <w:r w:rsidR="005A6AC8" w:rsidRPr="00365433">
        <w:rPr>
          <w:rFonts w:ascii="Times New Roman" w:hAnsi="Times New Roman" w:cs="Times New Roman"/>
          <w:lang w:val="en-GB" w:eastAsia="en-GB"/>
        </w:rPr>
        <w:t xml:space="preserve">spread amongst different stakeholders (e.g. actors along the supply chain will have access to different information). </w:t>
      </w:r>
      <w:r w:rsidR="005A6AC8" w:rsidRPr="00365433">
        <w:rPr>
          <w:rFonts w:ascii="Times New Roman" w:hAnsi="Times New Roman" w:cs="Times New Roman"/>
          <w:b/>
          <w:lang w:val="en-GB" w:eastAsia="en-GB"/>
        </w:rPr>
        <w:t xml:space="preserve">You </w:t>
      </w:r>
      <w:r w:rsidR="003C1C3D" w:rsidRPr="00365433">
        <w:rPr>
          <w:rFonts w:ascii="Times New Roman" w:hAnsi="Times New Roman" w:cs="Times New Roman"/>
          <w:b/>
          <w:lang w:val="en-GB" w:eastAsia="en-GB"/>
        </w:rPr>
        <w:t>are invited to fill in only those</w:t>
      </w:r>
      <w:r w:rsidR="005A6AC8" w:rsidRPr="00365433">
        <w:rPr>
          <w:rFonts w:ascii="Times New Roman" w:hAnsi="Times New Roman" w:cs="Times New Roman"/>
          <w:b/>
          <w:lang w:val="en-GB" w:eastAsia="en-GB"/>
        </w:rPr>
        <w:t xml:space="preserve"> sections </w:t>
      </w:r>
      <w:r w:rsidR="003C1C3D" w:rsidRPr="00365433">
        <w:rPr>
          <w:rFonts w:ascii="Times New Roman" w:hAnsi="Times New Roman" w:cs="Times New Roman"/>
          <w:b/>
          <w:lang w:val="en-GB" w:eastAsia="en-GB"/>
        </w:rPr>
        <w:t>in the questionnaire for which you have information</w:t>
      </w:r>
      <w:r w:rsidR="00352490" w:rsidRPr="00365433">
        <w:rPr>
          <w:rFonts w:ascii="Times New Roman" w:hAnsi="Times New Roman" w:cs="Times New Roman"/>
          <w:b/>
          <w:lang w:val="en-GB" w:eastAsia="en-GB"/>
        </w:rPr>
        <w:t>, you can leave the others blank</w:t>
      </w:r>
      <w:r w:rsidR="005A6AC8" w:rsidRPr="00365433">
        <w:rPr>
          <w:rFonts w:ascii="Times New Roman" w:hAnsi="Times New Roman" w:cs="Times New Roman"/>
          <w:lang w:val="en-GB" w:eastAsia="en-GB"/>
        </w:rPr>
        <w:t xml:space="preserve">. </w:t>
      </w:r>
    </w:p>
    <w:p w:rsidR="00D3385E" w:rsidRDefault="00C643BA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Information and data provided through this questionnaire </w:t>
      </w:r>
      <w:r w:rsidR="004F5D9D">
        <w:rPr>
          <w:rFonts w:ascii="Times New Roman" w:hAnsi="Times New Roman" w:cs="Times New Roman"/>
          <w:lang w:val="en-GB" w:eastAsia="en-GB"/>
        </w:rPr>
        <w:t xml:space="preserve">are gathered for the purpose of dissemination and knowledge sharing and therefore those providing information should mask any confidential business </w:t>
      </w:r>
      <w:r w:rsidR="004F5D9D">
        <w:rPr>
          <w:rFonts w:ascii="Times New Roman" w:hAnsi="Times New Roman" w:cs="Times New Roman"/>
          <w:lang w:val="en-GB" w:eastAsia="en-GB"/>
        </w:rPr>
        <w:lastRenderedPageBreak/>
        <w:t>information (e.g. provide ranges if necessary etc.)</w:t>
      </w:r>
      <w:r>
        <w:rPr>
          <w:rFonts w:ascii="Times New Roman" w:hAnsi="Times New Roman" w:cs="Times New Roman"/>
          <w:lang w:val="en-GB" w:eastAsia="en-GB"/>
        </w:rPr>
        <w:t xml:space="preserve">. </w:t>
      </w:r>
      <w:r w:rsidR="00D3385E">
        <w:rPr>
          <w:rFonts w:ascii="Times New Roman" w:hAnsi="Times New Roman" w:cs="Times New Roman"/>
          <w:lang w:val="en-GB" w:eastAsia="en-GB"/>
        </w:rPr>
        <w:t xml:space="preserve">A review of publically available information will complement the information collected. </w:t>
      </w:r>
    </w:p>
    <w:p w:rsidR="00444F62" w:rsidRDefault="00444F62" w:rsidP="00D3385E">
      <w:pPr>
        <w:pStyle w:val="Corpodeltes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Industry (chemical manufacturers and downstream users), public authorities, NGOs and academia are invited to fill-in this questionnaire.</w:t>
      </w:r>
    </w:p>
    <w:p w:rsidR="00D3385E" w:rsidRPr="004E427E" w:rsidRDefault="00D3385E" w:rsidP="00D3385E">
      <w:pPr>
        <w:pStyle w:val="Corpodeltesto"/>
        <w:rPr>
          <w:i/>
          <w:color w:val="000000"/>
          <w:shd w:val="clear" w:color="auto" w:fill="FFFFFF"/>
        </w:rPr>
      </w:pPr>
      <w:r w:rsidRPr="004E427E">
        <w:rPr>
          <w:i/>
          <w:color w:val="000000"/>
          <w:shd w:val="clear" w:color="auto" w:fill="FFFFFF"/>
        </w:rPr>
        <w:t xml:space="preserve">This project is developed by the </w:t>
      </w:r>
      <w:r w:rsidR="00E53651" w:rsidRPr="004E427E">
        <w:rPr>
          <w:i/>
          <w:color w:val="000000"/>
          <w:shd w:val="clear" w:color="auto" w:fill="FFFFFF"/>
        </w:rPr>
        <w:t>joint OECD/</w:t>
      </w:r>
      <w:r w:rsidR="005752B6" w:rsidRPr="004E427E">
        <w:rPr>
          <w:i/>
          <w:color w:val="000000"/>
          <w:shd w:val="clear" w:color="auto" w:fill="FFFFFF"/>
        </w:rPr>
        <w:t>UN Environment</w:t>
      </w:r>
      <w:r w:rsidRPr="004E427E">
        <w:rPr>
          <w:i/>
          <w:color w:val="000000"/>
          <w:shd w:val="clear" w:color="auto" w:fill="FFFFFF"/>
        </w:rPr>
        <w:t xml:space="preserve"> Global PFC Group. The Group was established in response to the International Conference on Chemicals Management - ICCM Resolution II/5set up to facilitate the exchange of information on </w:t>
      </w:r>
      <w:proofErr w:type="spellStart"/>
      <w:r w:rsidRPr="004E427E">
        <w:rPr>
          <w:i/>
          <w:color w:val="000000"/>
          <w:shd w:val="clear" w:color="auto" w:fill="FFFFFF"/>
        </w:rPr>
        <w:t>per</w:t>
      </w:r>
      <w:proofErr w:type="spellEnd"/>
      <w:r w:rsidRPr="004E427E">
        <w:rPr>
          <w:i/>
          <w:color w:val="000000"/>
          <w:shd w:val="clear" w:color="auto" w:fill="FFFFFF"/>
        </w:rPr>
        <w:t xml:space="preserve"> and poly-fluorinated chemicals, focusing specifically on </w:t>
      </w:r>
      <w:r w:rsidR="00655545" w:rsidRPr="004E427E">
        <w:rPr>
          <w:i/>
          <w:color w:val="000000"/>
          <w:shd w:val="clear" w:color="auto" w:fill="FFFFFF"/>
        </w:rPr>
        <w:t>PFASs</w:t>
      </w:r>
      <w:r w:rsidRPr="004E427E">
        <w:rPr>
          <w:i/>
          <w:color w:val="000000"/>
          <w:shd w:val="clear" w:color="auto" w:fill="FFFFFF"/>
        </w:rPr>
        <w:t xml:space="preserve">, and to support a global transition towards safer alternatives. </w:t>
      </w:r>
    </w:p>
    <w:p w:rsidR="002E5FD1" w:rsidRPr="0027778D" w:rsidRDefault="002E5FD1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 xml:space="preserve">Please return the completed questionnaire to </w:t>
      </w:r>
      <w:hyperlink r:id="rId9" w:history="1">
        <w:r w:rsidRPr="0002155B">
          <w:rPr>
            <w:rStyle w:val="Collegamentoipertestuale"/>
            <w:rFonts w:ascii="Times New Roman" w:hAnsi="Times New Roman" w:cs="Times New Roman"/>
            <w:lang w:val="en-GB" w:eastAsia="en-GB"/>
          </w:rPr>
          <w:t>marie-ange.baucher@oecd.org</w:t>
        </w:r>
      </w:hyperlink>
      <w:r>
        <w:rPr>
          <w:rFonts w:ascii="Times New Roman" w:hAnsi="Times New Roman" w:cs="Times New Roman"/>
          <w:lang w:val="en-GB" w:eastAsia="en-GB"/>
        </w:rPr>
        <w:t xml:space="preserve"> by the</w:t>
      </w:r>
      <w:r w:rsidR="00064B09">
        <w:rPr>
          <w:rFonts w:ascii="Times New Roman" w:hAnsi="Times New Roman" w:cs="Times New Roman"/>
          <w:lang w:val="en-GB" w:eastAsia="en-GB"/>
        </w:rPr>
        <w:t xml:space="preserve"> </w:t>
      </w:r>
      <w:r w:rsidR="00606AE7">
        <w:rPr>
          <w:rFonts w:ascii="Times New Roman" w:hAnsi="Times New Roman" w:cs="Times New Roman"/>
          <w:b/>
          <w:lang w:val="en-GB" w:eastAsia="en-GB"/>
        </w:rPr>
        <w:t>30</w:t>
      </w:r>
      <w:r w:rsidR="00606AE7" w:rsidRPr="00606AE7">
        <w:rPr>
          <w:rFonts w:ascii="Times New Roman" w:hAnsi="Times New Roman" w:cs="Times New Roman"/>
          <w:b/>
          <w:vertAlign w:val="superscript"/>
          <w:lang w:val="en-GB" w:eastAsia="en-GB"/>
        </w:rPr>
        <w:t>th</w:t>
      </w:r>
      <w:r w:rsidR="00606AE7">
        <w:rPr>
          <w:rFonts w:ascii="Times New Roman" w:hAnsi="Times New Roman" w:cs="Times New Roman"/>
          <w:b/>
          <w:lang w:val="en-GB" w:eastAsia="en-GB"/>
        </w:rPr>
        <w:t xml:space="preserve"> of October</w:t>
      </w:r>
      <w:r w:rsidR="007F770B">
        <w:rPr>
          <w:rFonts w:ascii="Times New Roman" w:hAnsi="Times New Roman" w:cs="Times New Roman"/>
          <w:b/>
          <w:lang w:val="en-GB" w:eastAsia="en-GB"/>
        </w:rPr>
        <w:t xml:space="preserve"> 2020</w:t>
      </w:r>
      <w:r w:rsidR="005303AA">
        <w:rPr>
          <w:rFonts w:ascii="Times New Roman" w:hAnsi="Times New Roman" w:cs="Times New Roman"/>
          <w:b/>
          <w:lang w:val="en-GB" w:eastAsia="en-GB"/>
        </w:rPr>
        <w:t>.</w:t>
      </w:r>
    </w:p>
    <w:bookmarkEnd w:id="0"/>
    <w:bookmarkEnd w:id="1"/>
    <w:p w:rsidR="005303AA" w:rsidRDefault="005303AA">
      <w:pPr>
        <w:tabs>
          <w:tab w:val="clear" w:pos="850"/>
          <w:tab w:val="clear" w:pos="1191"/>
          <w:tab w:val="clear" w:pos="1531"/>
        </w:tabs>
        <w:jc w:val="left"/>
        <w:rPr>
          <w:rFonts w:eastAsia="Times New Roman"/>
          <w:b/>
          <w:lang w:eastAsia="en-GB"/>
        </w:rPr>
      </w:pPr>
      <w:r>
        <w:rPr>
          <w:b/>
          <w:lang w:eastAsia="en-GB"/>
        </w:rPr>
        <w:br w:type="page"/>
      </w:r>
    </w:p>
    <w:p w:rsidR="002E5FD1" w:rsidRPr="00064B09" w:rsidRDefault="005A6AC8" w:rsidP="00064B09">
      <w:pPr>
        <w:pStyle w:val="Citazioneintensa"/>
        <w:rPr>
          <w:b/>
          <w:i w:val="0"/>
          <w:sz w:val="24"/>
          <w:szCs w:val="24"/>
          <w:lang w:eastAsia="en-GB"/>
        </w:rPr>
      </w:pPr>
      <w:r w:rsidRPr="00064B09">
        <w:rPr>
          <w:b/>
          <w:i w:val="0"/>
          <w:sz w:val="24"/>
          <w:szCs w:val="24"/>
          <w:lang w:eastAsia="en-GB"/>
        </w:rPr>
        <w:lastRenderedPageBreak/>
        <w:t>Respondent</w:t>
      </w:r>
      <w:r w:rsidR="00351325" w:rsidRPr="00064B09">
        <w:rPr>
          <w:b/>
          <w:i w:val="0"/>
          <w:sz w:val="24"/>
          <w:szCs w:val="24"/>
          <w:lang w:eastAsia="en-GB"/>
        </w:rPr>
        <w:t xml:space="preserve"> Information</w:t>
      </w: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2E5FD1" w:rsidRDefault="005A6AC8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Name of the entity/</w:t>
      </w:r>
      <w:r w:rsidR="00286110">
        <w:rPr>
          <w:rFonts w:ascii="Times New Roman" w:hAnsi="Times New Roman" w:cs="Times New Roman"/>
          <w:lang w:val="en-GB" w:eastAsia="en-GB"/>
        </w:rPr>
        <w:t>company/</w:t>
      </w:r>
      <w:r w:rsidR="005303AA">
        <w:rPr>
          <w:rFonts w:ascii="Times New Roman" w:hAnsi="Times New Roman" w:cs="Times New Roman"/>
          <w:lang w:val="en-GB" w:eastAsia="en-GB"/>
        </w:rPr>
        <w:t>association</w:t>
      </w:r>
      <w:r w:rsidR="00064B09">
        <w:rPr>
          <w:rFonts w:ascii="Times New Roman" w:hAnsi="Times New Roman" w:cs="Times New Roman"/>
          <w:lang w:val="en-GB" w:eastAsia="en-GB"/>
        </w:rPr>
        <w:t xml:space="preserve"> represented</w:t>
      </w:r>
      <w:r w:rsidR="005303AA">
        <w:rPr>
          <w:rFonts w:ascii="Times New Roman" w:hAnsi="Times New Roman" w:cs="Times New Roman"/>
          <w:lang w:val="en-GB" w:eastAsia="en-GB"/>
        </w:rPr>
        <w:t>:</w:t>
      </w:r>
      <w:r w:rsidR="00064B09">
        <w:rPr>
          <w:rFonts w:ascii="Times New Roman" w:hAnsi="Times New Roman" w:cs="Times New Roman"/>
          <w:lang w:val="en-GB" w:eastAsia="en-GB"/>
        </w:rPr>
        <w:t xml:space="preserve"> ____________________________</w:t>
      </w: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5303AA" w:rsidRDefault="005303AA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rFonts w:ascii="Times New Roman" w:hAnsi="Times New Roman" w:cs="Times New Roman"/>
          <w:lang w:val="en-GB" w:eastAsia="en-GB"/>
        </w:rPr>
        <w:t>Email address:</w:t>
      </w:r>
      <w:r w:rsidR="00064B09">
        <w:rPr>
          <w:rFonts w:ascii="Times New Roman" w:hAnsi="Times New Roman" w:cs="Times New Roman"/>
          <w:lang w:val="en-GB" w:eastAsia="en-GB"/>
        </w:rPr>
        <w:t xml:space="preserve"> ___________________________</w:t>
      </w:r>
    </w:p>
    <w:p w:rsidR="005303AA" w:rsidRDefault="005303AA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5303AA" w:rsidRDefault="005303AA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064B09" w:rsidRPr="0027778D" w:rsidRDefault="00064B09" w:rsidP="002E5FD1">
      <w:pPr>
        <w:pStyle w:val="Num-DocParagraph"/>
        <w:jc w:val="both"/>
        <w:rPr>
          <w:rFonts w:ascii="Times New Roman" w:hAnsi="Times New Roman" w:cs="Times New Roman"/>
          <w:lang w:val="en-GB" w:eastAsia="en-GB"/>
        </w:rPr>
      </w:pPr>
    </w:p>
    <w:p w:rsidR="0077239F" w:rsidRDefault="0077239F" w:rsidP="00064B09">
      <w:pPr>
        <w:pStyle w:val="Citazioneintensa"/>
        <w:rPr>
          <w:b/>
          <w:i w:val="0"/>
        </w:rPr>
        <w:sectPr w:rsidR="0077239F" w:rsidSect="00E53651">
          <w:headerReference w:type="default" r:id="rId10"/>
          <w:footerReference w:type="default" r:id="rId11"/>
          <w:pgSz w:w="11907" w:h="16840" w:code="9"/>
          <w:pgMar w:top="1985" w:right="1247" w:bottom="1814" w:left="1191" w:header="567" w:footer="1247" w:gutter="0"/>
          <w:cols w:space="720"/>
          <w:docGrid w:linePitch="360"/>
        </w:sectPr>
      </w:pPr>
    </w:p>
    <w:p w:rsidR="00005A32" w:rsidRPr="00064B09" w:rsidRDefault="009B0F18" w:rsidP="00064B09">
      <w:pPr>
        <w:pStyle w:val="Citazioneintensa"/>
        <w:rPr>
          <w:b/>
          <w:i w:val="0"/>
        </w:rPr>
      </w:pPr>
      <w:r w:rsidRPr="00064B09">
        <w:rPr>
          <w:b/>
          <w:i w:val="0"/>
        </w:rPr>
        <w:lastRenderedPageBreak/>
        <w:t>I. D</w:t>
      </w:r>
      <w:r w:rsidR="00005A32" w:rsidRPr="00064B09">
        <w:rPr>
          <w:b/>
          <w:i w:val="0"/>
        </w:rPr>
        <w:t>escription of the alternative</w:t>
      </w:r>
    </w:p>
    <w:p w:rsidR="00930CAF" w:rsidRDefault="00930CAF" w:rsidP="00930CAF">
      <w:r>
        <w:t xml:space="preserve">You are invited to provide in </w:t>
      </w:r>
      <w:r w:rsidR="005B0B0F">
        <w:t>this section</w:t>
      </w:r>
      <w:r>
        <w:t xml:space="preserve"> general information on alternatives to PFASs used in </w:t>
      </w:r>
      <w:bookmarkStart w:id="2" w:name="_GoBack"/>
      <w:bookmarkEnd w:id="2"/>
      <w:r w:rsidR="00C64092" w:rsidRPr="00C64092">
        <w:t>coatings, paints and varnishes (see annex for the detailed scope of the study)</w:t>
      </w:r>
      <w:r>
        <w:t xml:space="preserve">. </w:t>
      </w:r>
      <w:r w:rsidR="00070453">
        <w:t>You can provide informati</w:t>
      </w:r>
      <w:r w:rsidR="00352490">
        <w:t>on on alternative</w:t>
      </w:r>
      <w:r w:rsidR="00070453">
        <w:t xml:space="preserve"> developed to </w:t>
      </w:r>
      <w:r w:rsidR="00352490">
        <w:t>a specific chemical</w:t>
      </w:r>
      <w:r w:rsidR="00070453">
        <w:t xml:space="preserve"> or </w:t>
      </w:r>
      <w:r w:rsidR="00FF0F89">
        <w:t>to a product formulation containing PFASs.</w:t>
      </w:r>
      <w:r w:rsidR="005B0B0F">
        <w:t xml:space="preserve"> The first sub-section is for chemical alternatives and the second for non-chemical alternatives. </w:t>
      </w:r>
    </w:p>
    <w:p w:rsidR="00930CAF" w:rsidRPr="00930CAF" w:rsidRDefault="00930CAF" w:rsidP="00930CAF"/>
    <w:p w:rsidR="009B0F18" w:rsidRDefault="009B0F18" w:rsidP="00064B09">
      <w:pPr>
        <w:rPr>
          <w:b/>
        </w:rPr>
      </w:pPr>
      <w:r w:rsidRPr="00C12581">
        <w:t xml:space="preserve"> </w:t>
      </w:r>
      <w:r w:rsidR="005724DD" w:rsidRPr="00C2439D">
        <w:rPr>
          <w:b/>
        </w:rPr>
        <w:t>1. In the case of chemical alternative</w:t>
      </w:r>
      <w:r w:rsidR="00C2439D" w:rsidRPr="00C2439D">
        <w:rPr>
          <w:b/>
        </w:rPr>
        <w:t>s</w:t>
      </w:r>
      <w:r w:rsidR="002E5FD1">
        <w:rPr>
          <w:b/>
        </w:rPr>
        <w:t>:</w:t>
      </w:r>
    </w:p>
    <w:p w:rsidR="005724DD" w:rsidRDefault="005724DD" w:rsidP="009B0F18"/>
    <w:tbl>
      <w:tblPr>
        <w:tblStyle w:val="Grigliatabella"/>
        <w:tblW w:w="13609" w:type="dxa"/>
        <w:tblLook w:val="04A0"/>
      </w:tblPr>
      <w:tblGrid>
        <w:gridCol w:w="2204"/>
        <w:gridCol w:w="2323"/>
        <w:gridCol w:w="2012"/>
        <w:gridCol w:w="1879"/>
        <w:gridCol w:w="2356"/>
        <w:gridCol w:w="2835"/>
      </w:tblGrid>
      <w:tr w:rsidR="004A211F" w:rsidTr="004A211F">
        <w:tc>
          <w:tcPr>
            <w:tcW w:w="2204" w:type="dxa"/>
            <w:shd w:val="clear" w:color="auto" w:fill="B8CCE4" w:themeFill="accent1" w:themeFillTint="66"/>
          </w:tcPr>
          <w:p w:rsidR="004A211F" w:rsidRPr="004A211F" w:rsidRDefault="004A211F" w:rsidP="00302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Original chemical </w:t>
            </w:r>
          </w:p>
        </w:tc>
        <w:tc>
          <w:tcPr>
            <w:tcW w:w="2323" w:type="dxa"/>
            <w:shd w:val="clear" w:color="auto" w:fill="B8CCE4" w:themeFill="accent1" w:themeFillTint="66"/>
          </w:tcPr>
          <w:p w:rsidR="004A211F" w:rsidRPr="004A211F" w:rsidRDefault="004A211F" w:rsidP="00302F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Name of chemical alternative and identity (CAS number</w:t>
            </w:r>
            <w:r w:rsidRPr="004A211F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3"/>
            </w: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, EC number) </w:t>
            </w:r>
          </w:p>
        </w:tc>
        <w:tc>
          <w:tcPr>
            <w:tcW w:w="2012" w:type="dxa"/>
            <w:shd w:val="clear" w:color="auto" w:fill="B8CCE4" w:themeFill="accent1" w:themeFillTint="66"/>
          </w:tcPr>
          <w:p w:rsidR="004A211F" w:rsidRPr="004A211F" w:rsidRDefault="004A211F" w:rsidP="004D30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Type of chemical alternative </w:t>
            </w:r>
            <w:r w:rsidRPr="004A211F">
              <w:rPr>
                <w:rFonts w:ascii="Arial" w:hAnsi="Arial" w:cs="Arial"/>
                <w:b/>
                <w:i/>
                <w:sz w:val="18"/>
                <w:szCs w:val="18"/>
              </w:rPr>
              <w:t>(short chain PFASs or non-fluorinated)</w:t>
            </w:r>
          </w:p>
        </w:tc>
        <w:tc>
          <w:tcPr>
            <w:tcW w:w="1879" w:type="dxa"/>
            <w:shd w:val="clear" w:color="auto" w:fill="B8CCE4" w:themeFill="accent1" w:themeFillTint="66"/>
          </w:tcPr>
          <w:p w:rsidR="004A211F" w:rsidRPr="004A211F" w:rsidRDefault="004A211F" w:rsidP="00E86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Functional Use of the alternative</w:t>
            </w:r>
            <w:r w:rsidRPr="004A211F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2356" w:type="dxa"/>
            <w:shd w:val="clear" w:color="auto" w:fill="B8CCE4" w:themeFill="accent1" w:themeFillTint="66"/>
          </w:tcPr>
          <w:p w:rsidR="004A211F" w:rsidRPr="004A211F" w:rsidRDefault="004A211F" w:rsidP="00B16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Product Or Article Use Category</w:t>
            </w:r>
            <w:r w:rsidRPr="004A211F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A211F" w:rsidRPr="004A211F" w:rsidRDefault="004A211F" w:rsidP="00285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Product or article brand (if relevant)</w:t>
            </w:r>
          </w:p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  <w:tr w:rsidR="004A211F" w:rsidTr="004A211F">
        <w:tc>
          <w:tcPr>
            <w:tcW w:w="2204" w:type="dxa"/>
          </w:tcPr>
          <w:p w:rsidR="004A211F" w:rsidRDefault="004A211F" w:rsidP="009B0F18"/>
        </w:tc>
        <w:tc>
          <w:tcPr>
            <w:tcW w:w="2323" w:type="dxa"/>
          </w:tcPr>
          <w:p w:rsidR="004A211F" w:rsidRDefault="004A211F" w:rsidP="009B0F18"/>
        </w:tc>
        <w:tc>
          <w:tcPr>
            <w:tcW w:w="2012" w:type="dxa"/>
          </w:tcPr>
          <w:p w:rsidR="004A211F" w:rsidRDefault="004A211F" w:rsidP="009B0F18"/>
        </w:tc>
        <w:tc>
          <w:tcPr>
            <w:tcW w:w="1879" w:type="dxa"/>
          </w:tcPr>
          <w:p w:rsidR="004A211F" w:rsidRDefault="004A211F" w:rsidP="009B0F18"/>
        </w:tc>
        <w:tc>
          <w:tcPr>
            <w:tcW w:w="2356" w:type="dxa"/>
          </w:tcPr>
          <w:p w:rsidR="004A211F" w:rsidRDefault="004A211F" w:rsidP="009B0F18"/>
        </w:tc>
        <w:tc>
          <w:tcPr>
            <w:tcW w:w="2835" w:type="dxa"/>
          </w:tcPr>
          <w:p w:rsidR="004A211F" w:rsidRDefault="004A211F" w:rsidP="009B0F18"/>
        </w:tc>
      </w:tr>
    </w:tbl>
    <w:p w:rsidR="00064B09" w:rsidRDefault="00064B09" w:rsidP="009B0F18">
      <w:pPr>
        <w:rPr>
          <w:b/>
          <w:i/>
        </w:rPr>
      </w:pPr>
    </w:p>
    <w:p w:rsidR="005A6AC8" w:rsidRDefault="005A6AC8" w:rsidP="009B0F18">
      <w:pPr>
        <w:rPr>
          <w:b/>
          <w:i/>
        </w:rPr>
      </w:pPr>
      <w:r>
        <w:rPr>
          <w:b/>
          <w:i/>
        </w:rPr>
        <w:t>or</w:t>
      </w:r>
    </w:p>
    <w:p w:rsidR="005A6AC8" w:rsidRDefault="005A6AC8" w:rsidP="009B0F18">
      <w:pPr>
        <w:rPr>
          <w:b/>
          <w:i/>
        </w:rPr>
      </w:pPr>
    </w:p>
    <w:p w:rsidR="005A6AC8" w:rsidRDefault="005A6AC8" w:rsidP="009B0F18">
      <w:pPr>
        <w:rPr>
          <w:b/>
          <w:i/>
        </w:rPr>
      </w:pPr>
    </w:p>
    <w:p w:rsidR="00064B09" w:rsidRDefault="00064B09" w:rsidP="009B0F18">
      <w:pPr>
        <w:rPr>
          <w:b/>
          <w:i/>
        </w:rPr>
      </w:pPr>
    </w:p>
    <w:p w:rsidR="00064B09" w:rsidRDefault="00064B09" w:rsidP="009B0F18">
      <w:pPr>
        <w:rPr>
          <w:b/>
          <w:i/>
        </w:rPr>
      </w:pPr>
    </w:p>
    <w:tbl>
      <w:tblPr>
        <w:tblStyle w:val="Grigliatabella"/>
        <w:tblpPr w:leftFromText="180" w:rightFromText="180" w:vertAnchor="text" w:horzAnchor="margin" w:tblpY="130"/>
        <w:tblW w:w="13467" w:type="dxa"/>
        <w:tblLook w:val="04A0"/>
      </w:tblPr>
      <w:tblGrid>
        <w:gridCol w:w="2139"/>
        <w:gridCol w:w="2139"/>
        <w:gridCol w:w="2256"/>
        <w:gridCol w:w="2254"/>
        <w:gridCol w:w="2113"/>
        <w:gridCol w:w="2566"/>
      </w:tblGrid>
      <w:tr w:rsidR="004A211F" w:rsidTr="004A211F">
        <w:tc>
          <w:tcPr>
            <w:tcW w:w="2139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lastRenderedPageBreak/>
              <w:t>Original product formulation containing PFASs</w:t>
            </w:r>
          </w:p>
        </w:tc>
        <w:tc>
          <w:tcPr>
            <w:tcW w:w="2139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Alternative product formulation </w:t>
            </w:r>
          </w:p>
        </w:tc>
        <w:tc>
          <w:tcPr>
            <w:tcW w:w="2256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Type of chemical alternative </w:t>
            </w:r>
            <w:r w:rsidRPr="004A211F">
              <w:rPr>
                <w:rFonts w:ascii="Arial" w:hAnsi="Arial" w:cs="Arial"/>
                <w:b/>
                <w:i/>
                <w:sz w:val="18"/>
                <w:szCs w:val="18"/>
              </w:rPr>
              <w:t>(short chain PFASs or non-fluorinated)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Functional Use of the alternative</w:t>
            </w:r>
            <w:r w:rsidRPr="004A211F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2113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Product Or Article Use Category</w:t>
            </w:r>
            <w:r w:rsidRPr="004A211F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2566" w:type="dxa"/>
            <w:shd w:val="clear" w:color="auto" w:fill="B8CCE4" w:themeFill="accent1" w:themeFillTint="66"/>
          </w:tcPr>
          <w:p w:rsidR="004A211F" w:rsidRPr="004A211F" w:rsidRDefault="004A211F" w:rsidP="004A2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Product or article brand (if relevant)</w:t>
            </w:r>
          </w:p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  <w:tr w:rsidR="004A211F" w:rsidTr="004A211F">
        <w:tc>
          <w:tcPr>
            <w:tcW w:w="2139" w:type="dxa"/>
          </w:tcPr>
          <w:p w:rsidR="004A211F" w:rsidRDefault="004A211F" w:rsidP="004A211F"/>
        </w:tc>
        <w:tc>
          <w:tcPr>
            <w:tcW w:w="2139" w:type="dxa"/>
          </w:tcPr>
          <w:p w:rsidR="004A211F" w:rsidRDefault="004A211F" w:rsidP="004A211F"/>
        </w:tc>
        <w:tc>
          <w:tcPr>
            <w:tcW w:w="2256" w:type="dxa"/>
          </w:tcPr>
          <w:p w:rsidR="004A211F" w:rsidRDefault="004A211F" w:rsidP="004A211F"/>
        </w:tc>
        <w:tc>
          <w:tcPr>
            <w:tcW w:w="2254" w:type="dxa"/>
          </w:tcPr>
          <w:p w:rsidR="004A211F" w:rsidRDefault="004A211F" w:rsidP="004A211F"/>
        </w:tc>
        <w:tc>
          <w:tcPr>
            <w:tcW w:w="2113" w:type="dxa"/>
          </w:tcPr>
          <w:p w:rsidR="004A211F" w:rsidRDefault="004A211F" w:rsidP="004A211F"/>
        </w:tc>
        <w:tc>
          <w:tcPr>
            <w:tcW w:w="2566" w:type="dxa"/>
          </w:tcPr>
          <w:p w:rsidR="004A211F" w:rsidRDefault="004A211F" w:rsidP="004A211F"/>
        </w:tc>
      </w:tr>
    </w:tbl>
    <w:p w:rsidR="00064B09" w:rsidRDefault="00064B09" w:rsidP="009B0F18">
      <w:pPr>
        <w:rPr>
          <w:b/>
          <w:i/>
        </w:rPr>
      </w:pPr>
    </w:p>
    <w:p w:rsidR="00A5270A" w:rsidRDefault="00A5270A" w:rsidP="009B0F18">
      <w:pPr>
        <w:rPr>
          <w:b/>
        </w:rPr>
      </w:pPr>
    </w:p>
    <w:p w:rsidR="00C2439D" w:rsidRPr="00C2439D" w:rsidRDefault="00C2439D" w:rsidP="009B0F18">
      <w:pPr>
        <w:rPr>
          <w:b/>
        </w:rPr>
      </w:pPr>
      <w:r w:rsidRPr="00C2439D">
        <w:rPr>
          <w:b/>
        </w:rPr>
        <w:t>2. In the case of non-chemical alternatives</w:t>
      </w:r>
      <w:r w:rsidR="002E5FD1">
        <w:rPr>
          <w:b/>
        </w:rPr>
        <w:t>:</w:t>
      </w:r>
    </w:p>
    <w:p w:rsidR="00C2439D" w:rsidRDefault="00C2439D" w:rsidP="009B0F18"/>
    <w:tbl>
      <w:tblPr>
        <w:tblStyle w:val="Grigliatabella"/>
        <w:tblW w:w="13467" w:type="dxa"/>
        <w:tblInd w:w="-34" w:type="dxa"/>
        <w:tblLayout w:type="fixed"/>
        <w:tblLook w:val="04A0"/>
      </w:tblPr>
      <w:tblGrid>
        <w:gridCol w:w="3686"/>
        <w:gridCol w:w="2977"/>
        <w:gridCol w:w="4252"/>
        <w:gridCol w:w="2552"/>
      </w:tblGrid>
      <w:tr w:rsidR="00E54F70" w:rsidRPr="004A211F" w:rsidTr="004A211F">
        <w:trPr>
          <w:trHeight w:val="313"/>
        </w:trPr>
        <w:tc>
          <w:tcPr>
            <w:tcW w:w="3686" w:type="dxa"/>
            <w:shd w:val="clear" w:color="auto" w:fill="B8CCE4" w:themeFill="accent1" w:themeFillTint="66"/>
          </w:tcPr>
          <w:p w:rsidR="00E54F70" w:rsidRPr="004A211F" w:rsidRDefault="00352490" w:rsidP="00352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Original </w:t>
            </w:r>
            <w:r w:rsidR="00E54F70" w:rsidRPr="004A211F">
              <w:rPr>
                <w:rFonts w:ascii="Arial" w:hAnsi="Arial" w:cs="Arial"/>
                <w:b/>
                <w:sz w:val="18"/>
                <w:szCs w:val="18"/>
              </w:rPr>
              <w:t xml:space="preserve">Chemical </w:t>
            </w:r>
            <w:r w:rsidRPr="004A211F">
              <w:rPr>
                <w:rFonts w:ascii="Arial" w:hAnsi="Arial" w:cs="Arial"/>
                <w:b/>
                <w:sz w:val="18"/>
                <w:szCs w:val="18"/>
              </w:rPr>
              <w:t xml:space="preserve">or product formulation 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54F70" w:rsidRPr="004A211F" w:rsidRDefault="00E54F70" w:rsidP="00064B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Name of the alternative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E54F70" w:rsidRPr="004A211F" w:rsidRDefault="00E54F70" w:rsidP="00064B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Description of the process/application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E54F70" w:rsidRPr="004A211F" w:rsidRDefault="00E54F70" w:rsidP="006223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11F">
              <w:rPr>
                <w:rFonts w:ascii="Arial" w:hAnsi="Arial" w:cs="Arial"/>
                <w:b/>
                <w:sz w:val="18"/>
                <w:szCs w:val="18"/>
              </w:rPr>
              <w:t>Uses of the alternative</w:t>
            </w:r>
          </w:p>
        </w:tc>
      </w:tr>
      <w:tr w:rsidR="00E54F70" w:rsidTr="004A211F">
        <w:trPr>
          <w:trHeight w:val="313"/>
        </w:trPr>
        <w:tc>
          <w:tcPr>
            <w:tcW w:w="3686" w:type="dxa"/>
          </w:tcPr>
          <w:p w:rsidR="00E54F70" w:rsidRDefault="00E54F70" w:rsidP="00064B09"/>
        </w:tc>
        <w:tc>
          <w:tcPr>
            <w:tcW w:w="2977" w:type="dxa"/>
          </w:tcPr>
          <w:p w:rsidR="00E54F70" w:rsidRDefault="00E54F70" w:rsidP="00064B09"/>
        </w:tc>
        <w:tc>
          <w:tcPr>
            <w:tcW w:w="4252" w:type="dxa"/>
          </w:tcPr>
          <w:p w:rsidR="00E54F70" w:rsidRDefault="00E54F70" w:rsidP="00064B09"/>
        </w:tc>
        <w:tc>
          <w:tcPr>
            <w:tcW w:w="2552" w:type="dxa"/>
          </w:tcPr>
          <w:p w:rsidR="00E54F70" w:rsidRDefault="00E54F70" w:rsidP="00064B09"/>
        </w:tc>
      </w:tr>
      <w:tr w:rsidR="00E54F70" w:rsidTr="004A211F">
        <w:trPr>
          <w:trHeight w:val="313"/>
        </w:trPr>
        <w:tc>
          <w:tcPr>
            <w:tcW w:w="3686" w:type="dxa"/>
          </w:tcPr>
          <w:p w:rsidR="00E54F70" w:rsidRDefault="00E54F70" w:rsidP="00064B09"/>
        </w:tc>
        <w:tc>
          <w:tcPr>
            <w:tcW w:w="2977" w:type="dxa"/>
          </w:tcPr>
          <w:p w:rsidR="00E54F70" w:rsidRDefault="00E54F70" w:rsidP="00064B09"/>
        </w:tc>
        <w:tc>
          <w:tcPr>
            <w:tcW w:w="4252" w:type="dxa"/>
          </w:tcPr>
          <w:p w:rsidR="00E54F70" w:rsidRDefault="00E54F70" w:rsidP="00064B09"/>
        </w:tc>
        <w:tc>
          <w:tcPr>
            <w:tcW w:w="2552" w:type="dxa"/>
          </w:tcPr>
          <w:p w:rsidR="00E54F70" w:rsidRDefault="00E54F70" w:rsidP="00064B09"/>
        </w:tc>
      </w:tr>
      <w:tr w:rsidR="00E54F70" w:rsidTr="004A211F">
        <w:trPr>
          <w:trHeight w:val="297"/>
        </w:trPr>
        <w:tc>
          <w:tcPr>
            <w:tcW w:w="3686" w:type="dxa"/>
          </w:tcPr>
          <w:p w:rsidR="00E54F70" w:rsidRDefault="00E54F70" w:rsidP="00064B09"/>
        </w:tc>
        <w:tc>
          <w:tcPr>
            <w:tcW w:w="2977" w:type="dxa"/>
          </w:tcPr>
          <w:p w:rsidR="00E54F70" w:rsidRDefault="00E54F70" w:rsidP="00064B09"/>
        </w:tc>
        <w:tc>
          <w:tcPr>
            <w:tcW w:w="4252" w:type="dxa"/>
          </w:tcPr>
          <w:p w:rsidR="00E54F70" w:rsidRDefault="00E54F70" w:rsidP="00064B09"/>
        </w:tc>
        <w:tc>
          <w:tcPr>
            <w:tcW w:w="2552" w:type="dxa"/>
          </w:tcPr>
          <w:p w:rsidR="00E54F70" w:rsidRDefault="00E54F70" w:rsidP="00064B09"/>
        </w:tc>
      </w:tr>
      <w:tr w:rsidR="00E54F70" w:rsidTr="004A211F">
        <w:trPr>
          <w:trHeight w:val="327"/>
        </w:trPr>
        <w:tc>
          <w:tcPr>
            <w:tcW w:w="3686" w:type="dxa"/>
          </w:tcPr>
          <w:p w:rsidR="00E54F70" w:rsidRDefault="00E54F70" w:rsidP="00064B09"/>
        </w:tc>
        <w:tc>
          <w:tcPr>
            <w:tcW w:w="2977" w:type="dxa"/>
          </w:tcPr>
          <w:p w:rsidR="00E54F70" w:rsidRDefault="00E54F70" w:rsidP="00064B09"/>
        </w:tc>
        <w:tc>
          <w:tcPr>
            <w:tcW w:w="4252" w:type="dxa"/>
          </w:tcPr>
          <w:p w:rsidR="00E54F70" w:rsidRDefault="00E54F70" w:rsidP="00064B09"/>
        </w:tc>
        <w:tc>
          <w:tcPr>
            <w:tcW w:w="2552" w:type="dxa"/>
          </w:tcPr>
          <w:p w:rsidR="00E54F70" w:rsidRDefault="00E54F70" w:rsidP="00064B09"/>
        </w:tc>
      </w:tr>
      <w:tr w:rsidR="000147D6" w:rsidTr="004A211F">
        <w:trPr>
          <w:trHeight w:val="327"/>
        </w:trPr>
        <w:tc>
          <w:tcPr>
            <w:tcW w:w="3686" w:type="dxa"/>
          </w:tcPr>
          <w:p w:rsidR="000147D6" w:rsidRDefault="000147D6" w:rsidP="00064B09"/>
        </w:tc>
        <w:tc>
          <w:tcPr>
            <w:tcW w:w="2977" w:type="dxa"/>
          </w:tcPr>
          <w:p w:rsidR="000147D6" w:rsidRDefault="000147D6" w:rsidP="00064B09"/>
        </w:tc>
        <w:tc>
          <w:tcPr>
            <w:tcW w:w="4252" w:type="dxa"/>
          </w:tcPr>
          <w:p w:rsidR="000147D6" w:rsidRDefault="000147D6" w:rsidP="00064B09"/>
        </w:tc>
        <w:tc>
          <w:tcPr>
            <w:tcW w:w="2552" w:type="dxa"/>
          </w:tcPr>
          <w:p w:rsidR="000147D6" w:rsidRDefault="000147D6" w:rsidP="00064B09"/>
        </w:tc>
      </w:tr>
      <w:tr w:rsidR="000147D6" w:rsidTr="004A211F">
        <w:trPr>
          <w:trHeight w:val="327"/>
        </w:trPr>
        <w:tc>
          <w:tcPr>
            <w:tcW w:w="3686" w:type="dxa"/>
          </w:tcPr>
          <w:p w:rsidR="000147D6" w:rsidRDefault="000147D6" w:rsidP="00064B09"/>
        </w:tc>
        <w:tc>
          <w:tcPr>
            <w:tcW w:w="2977" w:type="dxa"/>
          </w:tcPr>
          <w:p w:rsidR="000147D6" w:rsidRDefault="000147D6" w:rsidP="00064B09"/>
        </w:tc>
        <w:tc>
          <w:tcPr>
            <w:tcW w:w="4252" w:type="dxa"/>
          </w:tcPr>
          <w:p w:rsidR="000147D6" w:rsidRDefault="000147D6" w:rsidP="00064B09"/>
        </w:tc>
        <w:tc>
          <w:tcPr>
            <w:tcW w:w="2552" w:type="dxa"/>
          </w:tcPr>
          <w:p w:rsidR="000147D6" w:rsidRDefault="000147D6" w:rsidP="00064B09"/>
        </w:tc>
      </w:tr>
      <w:tr w:rsidR="000147D6" w:rsidTr="004A211F">
        <w:trPr>
          <w:trHeight w:val="327"/>
        </w:trPr>
        <w:tc>
          <w:tcPr>
            <w:tcW w:w="3686" w:type="dxa"/>
          </w:tcPr>
          <w:p w:rsidR="000147D6" w:rsidRDefault="000147D6" w:rsidP="00064B09"/>
        </w:tc>
        <w:tc>
          <w:tcPr>
            <w:tcW w:w="2977" w:type="dxa"/>
          </w:tcPr>
          <w:p w:rsidR="000147D6" w:rsidRDefault="000147D6" w:rsidP="00064B09"/>
        </w:tc>
        <w:tc>
          <w:tcPr>
            <w:tcW w:w="4252" w:type="dxa"/>
          </w:tcPr>
          <w:p w:rsidR="000147D6" w:rsidRDefault="000147D6" w:rsidP="00064B09"/>
        </w:tc>
        <w:tc>
          <w:tcPr>
            <w:tcW w:w="2552" w:type="dxa"/>
          </w:tcPr>
          <w:p w:rsidR="000147D6" w:rsidRDefault="000147D6" w:rsidP="00064B09"/>
        </w:tc>
      </w:tr>
    </w:tbl>
    <w:p w:rsidR="00C2439D" w:rsidRDefault="00C2439D" w:rsidP="009B0F18"/>
    <w:p w:rsidR="00C50B1B" w:rsidRDefault="00C50B1B" w:rsidP="00C2439D">
      <w:pPr>
        <w:pStyle w:val="Paragrafoelenco"/>
        <w:ind w:left="0"/>
        <w:jc w:val="both"/>
        <w:rPr>
          <w:rFonts w:ascii="Times New Roman" w:hAnsi="Times New Roman"/>
          <w:b/>
          <w:szCs w:val="22"/>
        </w:rPr>
      </w:pPr>
    </w:p>
    <w:p w:rsidR="00C50B1B" w:rsidRDefault="00C50B1B" w:rsidP="00C2439D">
      <w:pPr>
        <w:pStyle w:val="Paragrafoelenco"/>
        <w:ind w:left="0"/>
        <w:jc w:val="both"/>
        <w:rPr>
          <w:rFonts w:ascii="Times New Roman" w:hAnsi="Times New Roman"/>
          <w:b/>
          <w:szCs w:val="22"/>
        </w:rPr>
      </w:pPr>
    </w:p>
    <w:p w:rsidR="004A211F" w:rsidRDefault="004A211F" w:rsidP="00064B09">
      <w:pPr>
        <w:pStyle w:val="Citazioneintensa"/>
        <w:rPr>
          <w:b/>
          <w:i w:val="0"/>
        </w:rPr>
        <w:sectPr w:rsidR="004A211F" w:rsidSect="0077239F">
          <w:pgSz w:w="16840" w:h="11907" w:orient="landscape" w:code="9"/>
          <w:pgMar w:top="1191" w:right="1985" w:bottom="1247" w:left="1814" w:header="567" w:footer="1247" w:gutter="0"/>
          <w:cols w:space="720"/>
          <w:docGrid w:linePitch="360"/>
        </w:sectPr>
      </w:pPr>
    </w:p>
    <w:p w:rsidR="009B0F18" w:rsidRPr="00064B09" w:rsidRDefault="00C2439D" w:rsidP="00064B09">
      <w:pPr>
        <w:pStyle w:val="Citazioneintensa"/>
        <w:rPr>
          <w:b/>
          <w:i w:val="0"/>
        </w:rPr>
      </w:pPr>
      <w:r w:rsidRPr="00064B09">
        <w:rPr>
          <w:b/>
          <w:i w:val="0"/>
        </w:rPr>
        <w:lastRenderedPageBreak/>
        <w:t>II. Information on Efficacy of the Alternative</w:t>
      </w:r>
      <w:r w:rsidR="00760F1C">
        <w:rPr>
          <w:b/>
          <w:i w:val="0"/>
        </w:rPr>
        <w:t>s (chemical and</w:t>
      </w:r>
      <w:r w:rsidR="001760ED" w:rsidRPr="00064B09">
        <w:rPr>
          <w:b/>
          <w:i w:val="0"/>
        </w:rPr>
        <w:t xml:space="preserve"> non-chemical)</w:t>
      </w:r>
    </w:p>
    <w:p w:rsidR="008302F7" w:rsidRPr="00DB4DAC" w:rsidRDefault="008302F7" w:rsidP="008302F7">
      <w:pPr>
        <w:rPr>
          <w:lang w:eastAsia="en-US"/>
        </w:rPr>
      </w:pPr>
      <w:r w:rsidRPr="00DB4DAC">
        <w:rPr>
          <w:lang w:eastAsia="en-US"/>
        </w:rPr>
        <w:t>For each alternative identified in I, provide a brief summary of</w:t>
      </w:r>
      <w:r w:rsidR="009E6206" w:rsidRPr="00DB4DAC">
        <w:rPr>
          <w:lang w:eastAsia="en-US"/>
        </w:rPr>
        <w:t xml:space="preserve"> </w:t>
      </w:r>
      <w:r w:rsidRPr="00DB4DAC">
        <w:rPr>
          <w:lang w:eastAsia="en-US"/>
        </w:rPr>
        <w:t xml:space="preserve">the relative functional performance of the alternative and the resulting capital, operating and use costs changes (positive or negative) when switching to the alternative. </w:t>
      </w:r>
    </w:p>
    <w:p w:rsidR="009B0F18" w:rsidRDefault="009B0F18" w:rsidP="009B0F18"/>
    <w:p w:rsidR="008102B2" w:rsidRDefault="008102B2" w:rsidP="009B0F18"/>
    <w:p w:rsidR="008102B2" w:rsidRDefault="008102B2" w:rsidP="009B0F18"/>
    <w:p w:rsidR="008102B2" w:rsidRDefault="008102B2" w:rsidP="009B0F18"/>
    <w:p w:rsidR="008102B2" w:rsidRDefault="008102B2" w:rsidP="009B0F18"/>
    <w:p w:rsidR="00133FAE" w:rsidRDefault="00133FAE" w:rsidP="009B0F18"/>
    <w:p w:rsidR="00E81F24" w:rsidRDefault="00E81F24" w:rsidP="009B0F18"/>
    <w:p w:rsidR="00E81F24" w:rsidRDefault="00E81F24" w:rsidP="009B0F18"/>
    <w:p w:rsidR="009B0F18" w:rsidRDefault="00133FAE" w:rsidP="000147D6">
      <w:pPr>
        <w:pStyle w:val="Citazioneintensa"/>
        <w:rPr>
          <w:b/>
          <w:i w:val="0"/>
        </w:rPr>
      </w:pPr>
      <w:r w:rsidRPr="000147D6">
        <w:rPr>
          <w:b/>
          <w:i w:val="0"/>
        </w:rPr>
        <w:t>III. U</w:t>
      </w:r>
      <w:r w:rsidR="009B0F18" w:rsidRPr="000147D6">
        <w:rPr>
          <w:b/>
          <w:i w:val="0"/>
        </w:rPr>
        <w:t>ptake/market penetration of the alternative and reasons for the level of uptake</w:t>
      </w:r>
      <w:r w:rsidR="001760ED" w:rsidRPr="000147D6">
        <w:rPr>
          <w:b/>
          <w:i w:val="0"/>
        </w:rPr>
        <w:t xml:space="preserve"> </w:t>
      </w:r>
      <w:r w:rsidR="00760F1C">
        <w:rPr>
          <w:b/>
          <w:i w:val="0"/>
        </w:rPr>
        <w:t>(chemical and</w:t>
      </w:r>
      <w:r w:rsidR="001760ED" w:rsidRPr="000147D6">
        <w:rPr>
          <w:b/>
          <w:i w:val="0"/>
        </w:rPr>
        <w:t xml:space="preserve"> non-chemical)</w:t>
      </w:r>
    </w:p>
    <w:p w:rsidR="00EE2CC6" w:rsidRDefault="009E6206" w:rsidP="009E6206">
      <w:r>
        <w:t xml:space="preserve">For each of the alternative identified in I, provide a brief summary indicating whether the alternative has received regulatory approval, if it has been used commercially, to which extent and for how long? </w:t>
      </w:r>
    </w:p>
    <w:p w:rsidR="00EE2CC6" w:rsidRDefault="00EE2CC6" w:rsidP="009E6206"/>
    <w:p w:rsidR="009629BB" w:rsidRDefault="009629BB" w:rsidP="00133FAE">
      <w:pPr>
        <w:rPr>
          <w:b/>
        </w:rPr>
      </w:pPr>
    </w:p>
    <w:p w:rsidR="003033B5" w:rsidRDefault="003033B5" w:rsidP="00133FAE"/>
    <w:p w:rsidR="002E5FD1" w:rsidRDefault="002E5FD1" w:rsidP="00133FAE"/>
    <w:p w:rsidR="00536753" w:rsidRDefault="00536753" w:rsidP="00133FAE">
      <w:pPr>
        <w:rPr>
          <w:b/>
        </w:rPr>
      </w:pPr>
    </w:p>
    <w:p w:rsidR="00536753" w:rsidRDefault="00536753" w:rsidP="00133FAE">
      <w:pPr>
        <w:rPr>
          <w:b/>
        </w:rPr>
      </w:pPr>
    </w:p>
    <w:p w:rsidR="00536753" w:rsidRDefault="00536753" w:rsidP="00133FAE">
      <w:pPr>
        <w:rPr>
          <w:b/>
        </w:rPr>
      </w:pPr>
    </w:p>
    <w:p w:rsidR="00536753" w:rsidRDefault="00536753" w:rsidP="00133FAE">
      <w:pPr>
        <w:rPr>
          <w:b/>
        </w:rPr>
      </w:pPr>
    </w:p>
    <w:p w:rsidR="00DB4DAC" w:rsidRDefault="00DB4DAC" w:rsidP="00133FAE">
      <w:pPr>
        <w:rPr>
          <w:b/>
        </w:rPr>
      </w:pPr>
    </w:p>
    <w:p w:rsidR="00DB4DAC" w:rsidRDefault="00DB4DAC" w:rsidP="00133FAE">
      <w:pPr>
        <w:rPr>
          <w:b/>
        </w:rPr>
      </w:pPr>
    </w:p>
    <w:p w:rsidR="009B0F18" w:rsidRPr="000147D6" w:rsidRDefault="00133FAE" w:rsidP="000147D6">
      <w:pPr>
        <w:pStyle w:val="Citazioneintensa"/>
        <w:rPr>
          <w:b/>
          <w:i w:val="0"/>
        </w:rPr>
      </w:pPr>
      <w:r w:rsidRPr="000147D6">
        <w:rPr>
          <w:b/>
          <w:i w:val="0"/>
        </w:rPr>
        <w:t>IV. C</w:t>
      </w:r>
      <w:r w:rsidR="009B0F18" w:rsidRPr="000147D6">
        <w:rPr>
          <w:b/>
          <w:i w:val="0"/>
        </w:rPr>
        <w:t xml:space="preserve">hallenges by sector or for particular uses of PFASs </w:t>
      </w:r>
      <w:r w:rsidR="00760F1C">
        <w:rPr>
          <w:b/>
          <w:i w:val="0"/>
        </w:rPr>
        <w:t>(chemical and</w:t>
      </w:r>
      <w:r w:rsidR="001760ED" w:rsidRPr="000147D6">
        <w:rPr>
          <w:b/>
          <w:i w:val="0"/>
        </w:rPr>
        <w:t xml:space="preserve"> non-chemical)</w:t>
      </w:r>
    </w:p>
    <w:p w:rsidR="00133FAE" w:rsidRPr="00EE2CC6" w:rsidRDefault="00EE2CC6" w:rsidP="00133FAE">
      <w:r w:rsidRPr="00EE2CC6">
        <w:t>For each of the alternative identified in I, please provide a brief summary</w:t>
      </w:r>
      <w:r>
        <w:t xml:space="preserve"> on the estimated cost and time to qualify the alternative and the main challenges during the substitution process</w:t>
      </w:r>
    </w:p>
    <w:p w:rsidR="00EE2CC6" w:rsidRPr="00EE2CC6" w:rsidRDefault="00EE2CC6" w:rsidP="00133FAE"/>
    <w:p w:rsidR="00E05BAA" w:rsidRDefault="00E05BAA" w:rsidP="00E05BAA">
      <w:pPr>
        <w:pStyle w:val="Paragrafoelenco"/>
        <w:ind w:left="0"/>
        <w:jc w:val="both"/>
        <w:rPr>
          <w:rFonts w:ascii="Times New Roman" w:hAnsi="Times New Roman"/>
          <w:b/>
          <w:szCs w:val="22"/>
        </w:rPr>
      </w:pPr>
    </w:p>
    <w:p w:rsidR="00133FAE" w:rsidRDefault="00133FAE" w:rsidP="00133FAE">
      <w:pPr>
        <w:rPr>
          <w:b/>
        </w:rPr>
      </w:pPr>
    </w:p>
    <w:p w:rsidR="000147D6" w:rsidRDefault="000147D6" w:rsidP="00133FAE">
      <w:pPr>
        <w:rPr>
          <w:b/>
        </w:rPr>
      </w:pPr>
    </w:p>
    <w:p w:rsidR="000147D6" w:rsidRDefault="000147D6" w:rsidP="00133FAE">
      <w:pPr>
        <w:rPr>
          <w:b/>
        </w:rPr>
      </w:pPr>
    </w:p>
    <w:p w:rsidR="000147D6" w:rsidRDefault="000147D6" w:rsidP="00133FAE">
      <w:pPr>
        <w:rPr>
          <w:b/>
        </w:rPr>
      </w:pPr>
    </w:p>
    <w:p w:rsidR="000147D6" w:rsidRDefault="000147D6" w:rsidP="00133FAE">
      <w:pPr>
        <w:rPr>
          <w:b/>
        </w:rPr>
      </w:pPr>
    </w:p>
    <w:p w:rsidR="000147D6" w:rsidRDefault="000147D6" w:rsidP="00133FAE">
      <w:pPr>
        <w:rPr>
          <w:b/>
        </w:rPr>
      </w:pPr>
    </w:p>
    <w:p w:rsidR="004A211F" w:rsidRDefault="004A211F" w:rsidP="00133FAE">
      <w:pPr>
        <w:rPr>
          <w:b/>
        </w:rPr>
      </w:pPr>
    </w:p>
    <w:p w:rsidR="004A211F" w:rsidRDefault="004A211F" w:rsidP="004A211F">
      <w:pPr>
        <w:jc w:val="center"/>
        <w:rPr>
          <w:b/>
        </w:rPr>
      </w:pPr>
      <w:r>
        <w:rPr>
          <w:b/>
        </w:rPr>
        <w:lastRenderedPageBreak/>
        <w:t>Annex – Scope of the Study</w:t>
      </w:r>
    </w:p>
    <w:p w:rsidR="004A211F" w:rsidRDefault="004A211F" w:rsidP="00133FAE">
      <w:pPr>
        <w:rPr>
          <w:b/>
        </w:rPr>
      </w:pPr>
    </w:p>
    <w:p w:rsidR="004A211F" w:rsidRDefault="004A211F" w:rsidP="004A211F">
      <w:pPr>
        <w:rPr>
          <w:u w:val="single"/>
        </w:rPr>
      </w:pPr>
      <w:r>
        <w:rPr>
          <w:u w:val="single"/>
        </w:rPr>
        <w:t>In scope</w:t>
      </w:r>
    </w:p>
    <w:p w:rsidR="004A211F" w:rsidRDefault="004A211F" w:rsidP="004A211F">
      <w:r>
        <w:t>At least the following are considered in scope:</w:t>
      </w:r>
    </w:p>
    <w:p w:rsidR="004A211F" w:rsidRDefault="004A211F" w:rsidP="004A211F">
      <w:pPr>
        <w:pStyle w:val="Paragrafoelenco"/>
        <w:numPr>
          <w:ilvl w:val="0"/>
          <w:numId w:val="14"/>
        </w:numPr>
      </w:pPr>
      <w:r>
        <w:t xml:space="preserve">Paints and varnishes: </w:t>
      </w:r>
      <w:proofErr w:type="spellStart"/>
      <w:r>
        <w:t>fluorosurfactants</w:t>
      </w:r>
      <w:proofErr w:type="spellEnd"/>
      <w:r>
        <w:t xml:space="preserve"> used as wetting, levelling, and dispersing agents, and may also be used to improve gloss and antistatic properties and laminates for conserving landmarks;</w:t>
      </w:r>
    </w:p>
    <w:p w:rsidR="004A211F" w:rsidRDefault="004A211F" w:rsidP="004A211F">
      <w:pPr>
        <w:pStyle w:val="Paragrafoelenco"/>
        <w:numPr>
          <w:ilvl w:val="0"/>
          <w:numId w:val="14"/>
        </w:numPr>
      </w:pPr>
      <w:r>
        <w:t xml:space="preserve">Cable and Wiring: coatings and jackets made of </w:t>
      </w:r>
      <w:proofErr w:type="spellStart"/>
      <w:r>
        <w:t>fluoropolymers</w:t>
      </w:r>
      <w:proofErr w:type="spellEnd"/>
      <w:r>
        <w:t xml:space="preserve"> (such as PTFE and PVDF) for weather, flame, and soil resistance; </w:t>
      </w:r>
    </w:p>
    <w:p w:rsidR="004A211F" w:rsidRDefault="004A211F" w:rsidP="004A211F">
      <w:pPr>
        <w:pStyle w:val="Paragrafoelenco"/>
        <w:numPr>
          <w:ilvl w:val="0"/>
          <w:numId w:val="14"/>
        </w:numPr>
      </w:pPr>
      <w:r>
        <w:t>Electronics industry and semiconductors: to the extent relevant e.g. in antireflective coatings and coating materials to prevent corrosion;</w:t>
      </w:r>
    </w:p>
    <w:p w:rsidR="004A211F" w:rsidRDefault="004A211F" w:rsidP="004A211F">
      <w:pPr>
        <w:pStyle w:val="Paragrafoelenco"/>
        <w:numPr>
          <w:ilvl w:val="0"/>
          <w:numId w:val="14"/>
        </w:numPr>
      </w:pPr>
      <w:r>
        <w:t xml:space="preserve">Energy, oil and gas: e.g. polymer lining of gas pipes and </w:t>
      </w:r>
      <w:proofErr w:type="spellStart"/>
      <w:r>
        <w:t>fluoropolymer</w:t>
      </w:r>
      <w:proofErr w:type="spellEnd"/>
      <w:r>
        <w:t xml:space="preserve"> films (such as FEP, PVDF) to cover solar panel collectors;</w:t>
      </w:r>
    </w:p>
    <w:p w:rsidR="004A211F" w:rsidRDefault="004A211F" w:rsidP="004A211F">
      <w:pPr>
        <w:pStyle w:val="Paragrafoelenco"/>
        <w:numPr>
          <w:ilvl w:val="0"/>
          <w:numId w:val="14"/>
        </w:numPr>
      </w:pPr>
      <w:r>
        <w:t>Cleaning agents, waxes and floor polishes.</w:t>
      </w:r>
    </w:p>
    <w:p w:rsidR="004A211F" w:rsidRDefault="004A211F" w:rsidP="004A211F"/>
    <w:p w:rsidR="004A211F" w:rsidRDefault="004A211F" w:rsidP="004A211F">
      <w:pPr>
        <w:rPr>
          <w:u w:val="single"/>
        </w:rPr>
      </w:pPr>
      <w:r>
        <w:rPr>
          <w:u w:val="single"/>
        </w:rPr>
        <w:t>Out of scope</w:t>
      </w:r>
    </w:p>
    <w:p w:rsidR="004A211F" w:rsidRDefault="004A211F" w:rsidP="004A211F">
      <w:r>
        <w:t xml:space="preserve">At least the following are considered out of scope: 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>Mist suppression in the electroplating industry;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>Coatings on textiles, leather and furniture e.g. outdoor clothing, PPE and carpets;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>Aqueous fire-fighting foams used to suppress fires by a coating effect;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>Coatings used in food packaging and food processing;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>Cosmetics/Personal Care Products: micro powders used in creams and lotions; shampoos, nail polish, eye makeup, denture cleaners, dental floss;</w:t>
      </w:r>
    </w:p>
    <w:p w:rsidR="004A211F" w:rsidRDefault="004A211F" w:rsidP="004A211F">
      <w:pPr>
        <w:pStyle w:val="Paragrafoelenco"/>
        <w:numPr>
          <w:ilvl w:val="0"/>
          <w:numId w:val="15"/>
        </w:numPr>
      </w:pPr>
      <w:r>
        <w:t xml:space="preserve">Mechanical components made of (i.e. not coated with) </w:t>
      </w:r>
      <w:proofErr w:type="spellStart"/>
      <w:r>
        <w:t>fluoropolymers</w:t>
      </w:r>
      <w:proofErr w:type="spellEnd"/>
      <w:r>
        <w:t xml:space="preserve"> e.g. tubing, seals, bearings, gaskets and O rings e.g. in the automotive and aerospace sectors. </w:t>
      </w:r>
    </w:p>
    <w:p w:rsidR="004A211F" w:rsidRPr="00263938" w:rsidRDefault="004A211F" w:rsidP="004A211F"/>
    <w:p w:rsidR="004A211F" w:rsidRPr="004A211F" w:rsidRDefault="004A211F" w:rsidP="004A211F">
      <w:pPr>
        <w:rPr>
          <w:i/>
        </w:rPr>
      </w:pPr>
      <w:r w:rsidRPr="004A211F">
        <w:rPr>
          <w:i/>
        </w:rPr>
        <w:t>Table 20 of the OECD document Internationally Harmonised Functional, Product and Article Use Categories of May 2017</w:t>
      </w:r>
    </w:p>
    <w:p w:rsidR="004A211F" w:rsidRPr="004A211F" w:rsidRDefault="004A211F" w:rsidP="004A211F">
      <w:pPr>
        <w:rPr>
          <w:i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6912"/>
      </w:tblGrid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Aerosol spray paints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Pressurized one-component paint released with a propellant and spray applied as a fine mist.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Paint strippers/removers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Liquid product applied to surfaces to remove paint, coatings and other finishes and also to clean the underlying surface.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 xml:space="preserve">Lacquers, stains, varnishes </w:t>
            </w:r>
          </w:p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and floor finishes</w:t>
            </w:r>
          </w:p>
          <w:p w:rsidR="004A211F" w:rsidRDefault="004A211F" w:rsidP="005602BD">
            <w:pPr>
              <w:rPr>
                <w:sz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Liquids applied to surfaces such as floors, countertops, appliances, furnishings, decking, and patios to impart colouring or resistance to fade, scuffing, marking, or wear.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Water-based paint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Paints that have been formulated to have water as the main vehicle.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Solvent-based paint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Paints that have been formulated to have a solvent as the vehicle.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Adhesive/caulk removers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Products applied to surfaces to unbind substances or remove sealants and to clean the underlying surface by softening adhesives, caulks and other glues so they can be removed.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Thinners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Liquids to dilute paints and coatings to obtain suitable viscosity for paint application.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Powder coatings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 xml:space="preserve">Dry powder coating that does not contain solvents and is cured under heat to create a coating film. </w:t>
            </w:r>
          </w:p>
        </w:tc>
      </w:tr>
      <w:tr w:rsidR="004A211F" w:rsidTr="005602B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Radiation curable coatings</w:t>
            </w:r>
          </w:p>
          <w:p w:rsidR="004A211F" w:rsidRDefault="004A211F" w:rsidP="005602BD">
            <w:pPr>
              <w:rPr>
                <w:sz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F" w:rsidRDefault="004A211F" w:rsidP="005602BD">
            <w:pPr>
              <w:rPr>
                <w:sz w:val="20"/>
              </w:rPr>
            </w:pPr>
            <w:r>
              <w:rPr>
                <w:sz w:val="20"/>
              </w:rPr>
              <w:t>Coatings designed to cure onto surface when exposed to radiation such as ultraviolet or electron beam radiation.</w:t>
            </w:r>
          </w:p>
        </w:tc>
      </w:tr>
    </w:tbl>
    <w:p w:rsidR="004A211F" w:rsidRDefault="004A211F" w:rsidP="004A211F">
      <w:pPr>
        <w:rPr>
          <w:rFonts w:ascii="Times" w:eastAsia="Times New Roman" w:hAnsi="Times"/>
          <w:szCs w:val="20"/>
          <w:u w:val="single"/>
          <w:lang w:eastAsia="en-US"/>
        </w:rPr>
      </w:pPr>
    </w:p>
    <w:p w:rsidR="004A211F" w:rsidRDefault="004A211F" w:rsidP="00133FAE">
      <w:pPr>
        <w:rPr>
          <w:b/>
        </w:rPr>
      </w:pPr>
    </w:p>
    <w:sectPr w:rsidR="004A211F" w:rsidSect="004A211F">
      <w:pgSz w:w="11907" w:h="16840" w:code="9"/>
      <w:pgMar w:top="1985" w:right="1247" w:bottom="1814" w:left="1191" w:header="567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28" w:rsidRDefault="00062C28">
      <w:r>
        <w:separator/>
      </w:r>
    </w:p>
  </w:endnote>
  <w:endnote w:type="continuationSeparator" w:id="0">
    <w:p w:rsidR="00062C28" w:rsidRDefault="0006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547"/>
      <w:docPartObj>
        <w:docPartGallery w:val="Page Numbers (Bottom of Page)"/>
        <w:docPartUnique/>
      </w:docPartObj>
    </w:sdtPr>
    <w:sdtContent>
      <w:p w:rsidR="005A1A7A" w:rsidRDefault="00E9608D">
        <w:pPr>
          <w:pStyle w:val="Pidipagina"/>
          <w:jc w:val="center"/>
        </w:pPr>
        <w:r>
          <w:fldChar w:fldCharType="begin"/>
        </w:r>
        <w:r w:rsidR="005A1A7A">
          <w:instrText xml:space="preserve"> PAGE   \* MERGEFORMAT </w:instrText>
        </w:r>
        <w:r>
          <w:fldChar w:fldCharType="separate"/>
        </w:r>
        <w:r w:rsidR="003A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A7A" w:rsidRDefault="005A1A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28" w:rsidRDefault="00062C28">
      <w:r>
        <w:separator/>
      </w:r>
    </w:p>
  </w:footnote>
  <w:footnote w:type="continuationSeparator" w:id="0">
    <w:p w:rsidR="00062C28" w:rsidRDefault="00062C28">
      <w:r>
        <w:continuationSeparator/>
      </w:r>
    </w:p>
  </w:footnote>
  <w:footnote w:id="1">
    <w:p w:rsidR="005A1A7A" w:rsidRPr="00064B09" w:rsidRDefault="005A1A7A" w:rsidP="00C96EF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064B09">
        <w:rPr>
          <w:sz w:val="18"/>
          <w:szCs w:val="18"/>
        </w:rPr>
        <w:t xml:space="preserve">As per </w:t>
      </w:r>
      <w:hyperlink r:id="rId1" w:history="1">
        <w:r w:rsidRPr="00064B09">
          <w:rPr>
            <w:rStyle w:val="Collegamentoipertestuale"/>
            <w:sz w:val="18"/>
            <w:szCs w:val="18"/>
          </w:rPr>
          <w:t xml:space="preserve">the OECD Synthesis Report on </w:t>
        </w:r>
        <w:proofErr w:type="spellStart"/>
        <w:r w:rsidRPr="00064B09">
          <w:rPr>
            <w:rStyle w:val="Collegamentoipertestuale"/>
            <w:sz w:val="18"/>
            <w:szCs w:val="18"/>
          </w:rPr>
          <w:t>Per</w:t>
        </w:r>
        <w:proofErr w:type="spellEnd"/>
        <w:r w:rsidRPr="00064B09">
          <w:rPr>
            <w:rStyle w:val="Collegamentoipertestuale"/>
            <w:sz w:val="18"/>
            <w:szCs w:val="18"/>
          </w:rPr>
          <w:t xml:space="preserve"> and Poly Fluorinated Chemicals</w:t>
        </w:r>
      </w:hyperlink>
      <w:r w:rsidRPr="00064B09">
        <w:rPr>
          <w:sz w:val="18"/>
          <w:szCs w:val="18"/>
        </w:rPr>
        <w:t>, the term “long-chain PFASs” refers to: (</w:t>
      </w:r>
      <w:proofErr w:type="spellStart"/>
      <w:r w:rsidRPr="00064B09">
        <w:rPr>
          <w:sz w:val="18"/>
          <w:szCs w:val="18"/>
        </w:rPr>
        <w:t>i</w:t>
      </w:r>
      <w:proofErr w:type="spellEnd"/>
      <w:r w:rsidRPr="00064B09">
        <w:rPr>
          <w:sz w:val="18"/>
          <w:szCs w:val="18"/>
        </w:rPr>
        <w:t xml:space="preserve">) PFCAs with 7 and more </w:t>
      </w:r>
      <w:proofErr w:type="spellStart"/>
      <w:r w:rsidRPr="00064B09">
        <w:rPr>
          <w:sz w:val="18"/>
          <w:szCs w:val="18"/>
        </w:rPr>
        <w:t>perfluoroalkyl</w:t>
      </w:r>
      <w:proofErr w:type="spellEnd"/>
      <w:r w:rsidRPr="00064B09">
        <w:rPr>
          <w:sz w:val="18"/>
          <w:szCs w:val="18"/>
        </w:rPr>
        <w:t xml:space="preserve"> carbons, such as PFOA (with 8 carbons or C8 PFCA) and PFNA (with 9 carbons or C9 PFCA); (ii) PFSAs with 6 and more </w:t>
      </w:r>
      <w:proofErr w:type="spellStart"/>
      <w:r w:rsidRPr="00064B09">
        <w:rPr>
          <w:sz w:val="18"/>
          <w:szCs w:val="18"/>
        </w:rPr>
        <w:t>perfluoroalkyl</w:t>
      </w:r>
      <w:proofErr w:type="spellEnd"/>
      <w:r w:rsidRPr="00064B09">
        <w:rPr>
          <w:sz w:val="18"/>
          <w:szCs w:val="18"/>
        </w:rPr>
        <w:t xml:space="preserve"> carbons, such as </w:t>
      </w:r>
      <w:proofErr w:type="spellStart"/>
      <w:r w:rsidRPr="00064B09">
        <w:rPr>
          <w:sz w:val="18"/>
          <w:szCs w:val="18"/>
        </w:rPr>
        <w:t>PFHxS</w:t>
      </w:r>
      <w:proofErr w:type="spellEnd"/>
      <w:r w:rsidRPr="00064B09">
        <w:rPr>
          <w:sz w:val="18"/>
          <w:szCs w:val="18"/>
        </w:rPr>
        <w:t xml:space="preserve"> (with 6 </w:t>
      </w:r>
      <w:proofErr w:type="spellStart"/>
      <w:r w:rsidRPr="00064B09">
        <w:rPr>
          <w:sz w:val="18"/>
          <w:szCs w:val="18"/>
        </w:rPr>
        <w:t>perfluoroalkyl</w:t>
      </w:r>
      <w:proofErr w:type="spellEnd"/>
      <w:r w:rsidRPr="00064B09">
        <w:rPr>
          <w:sz w:val="18"/>
          <w:szCs w:val="18"/>
        </w:rPr>
        <w:t xml:space="preserve"> carbons, or C6 PFSA) and PFOS (with 8 </w:t>
      </w:r>
      <w:proofErr w:type="spellStart"/>
      <w:r w:rsidRPr="00064B09">
        <w:rPr>
          <w:sz w:val="18"/>
          <w:szCs w:val="18"/>
        </w:rPr>
        <w:t>perfluoroalkyl</w:t>
      </w:r>
      <w:proofErr w:type="spellEnd"/>
      <w:r w:rsidRPr="00064B09">
        <w:rPr>
          <w:sz w:val="18"/>
          <w:szCs w:val="18"/>
        </w:rPr>
        <w:t xml:space="preserve"> carbons or C8 PFSA); and (iii) Substances that have the potential to degrade to long-chain PFCAs or PFSAs, i.e. precursors such as PASF- and </w:t>
      </w:r>
      <w:proofErr w:type="spellStart"/>
      <w:r w:rsidRPr="00064B09">
        <w:rPr>
          <w:sz w:val="18"/>
          <w:szCs w:val="18"/>
        </w:rPr>
        <w:t>fluorotelomerbased</w:t>
      </w:r>
      <w:proofErr w:type="spellEnd"/>
      <w:r w:rsidRPr="00064B09">
        <w:rPr>
          <w:sz w:val="18"/>
          <w:szCs w:val="18"/>
        </w:rPr>
        <w:t xml:space="preserve"> compounds. Major substances groups with shorter per- or </w:t>
      </w:r>
      <w:proofErr w:type="spellStart"/>
      <w:r w:rsidRPr="00064B09">
        <w:rPr>
          <w:sz w:val="18"/>
          <w:szCs w:val="18"/>
        </w:rPr>
        <w:t>polyfluorinated</w:t>
      </w:r>
      <w:proofErr w:type="spellEnd"/>
      <w:r w:rsidRPr="00064B09">
        <w:rPr>
          <w:sz w:val="18"/>
          <w:szCs w:val="18"/>
        </w:rPr>
        <w:t xml:space="preserve"> carbon chain include:</w:t>
      </w:r>
    </w:p>
    <w:p w:rsidR="005A1A7A" w:rsidRPr="00064B09" w:rsidRDefault="005A1A7A" w:rsidP="00C96EFD">
      <w:pPr>
        <w:pStyle w:val="Testonotaapidipagina"/>
        <w:numPr>
          <w:ilvl w:val="0"/>
          <w:numId w:val="11"/>
        </w:numPr>
        <w:rPr>
          <w:sz w:val="18"/>
          <w:szCs w:val="18"/>
        </w:rPr>
      </w:pPr>
      <w:r w:rsidRPr="00064B09">
        <w:rPr>
          <w:sz w:val="18"/>
          <w:szCs w:val="18"/>
        </w:rPr>
        <w:t xml:space="preserve">6:2 </w:t>
      </w:r>
      <w:proofErr w:type="spellStart"/>
      <w:r w:rsidRPr="00064B09">
        <w:rPr>
          <w:sz w:val="18"/>
          <w:szCs w:val="18"/>
        </w:rPr>
        <w:t>fluorotelomer</w:t>
      </w:r>
      <w:proofErr w:type="spellEnd"/>
      <w:r w:rsidRPr="00064B09">
        <w:rPr>
          <w:sz w:val="18"/>
          <w:szCs w:val="18"/>
        </w:rPr>
        <w:t>-based chemicals as replacements of their higher homologues;</w:t>
      </w:r>
    </w:p>
    <w:p w:rsidR="005A1A7A" w:rsidRPr="00064B09" w:rsidRDefault="005A1A7A" w:rsidP="00C96EFD">
      <w:pPr>
        <w:pStyle w:val="Testonotaapidipagina"/>
        <w:numPr>
          <w:ilvl w:val="0"/>
          <w:numId w:val="11"/>
        </w:numPr>
        <w:rPr>
          <w:sz w:val="18"/>
          <w:szCs w:val="18"/>
        </w:rPr>
      </w:pPr>
      <w:proofErr w:type="spellStart"/>
      <w:r w:rsidRPr="00064B09">
        <w:rPr>
          <w:sz w:val="18"/>
          <w:szCs w:val="18"/>
        </w:rPr>
        <w:t>perfluorobutane</w:t>
      </w:r>
      <w:proofErr w:type="spellEnd"/>
      <w:r w:rsidRPr="00064B09">
        <w:rPr>
          <w:sz w:val="18"/>
          <w:szCs w:val="18"/>
        </w:rPr>
        <w:t xml:space="preserve"> </w:t>
      </w:r>
      <w:proofErr w:type="spellStart"/>
      <w:r w:rsidRPr="00064B09">
        <w:rPr>
          <w:sz w:val="18"/>
          <w:szCs w:val="18"/>
        </w:rPr>
        <w:t>sulfonyl</w:t>
      </w:r>
      <w:proofErr w:type="spellEnd"/>
      <w:r w:rsidRPr="00064B09">
        <w:rPr>
          <w:sz w:val="18"/>
          <w:szCs w:val="18"/>
        </w:rPr>
        <w:t xml:space="preserve"> fluoride (PBSF)-based derivatives as replacements of chemicals based on </w:t>
      </w:r>
      <w:proofErr w:type="spellStart"/>
      <w:r w:rsidRPr="00064B09">
        <w:rPr>
          <w:sz w:val="18"/>
          <w:szCs w:val="18"/>
        </w:rPr>
        <w:t>perfluorooctane</w:t>
      </w:r>
      <w:proofErr w:type="spellEnd"/>
      <w:r w:rsidRPr="00064B09">
        <w:rPr>
          <w:sz w:val="18"/>
          <w:szCs w:val="18"/>
        </w:rPr>
        <w:t xml:space="preserve"> </w:t>
      </w:r>
      <w:proofErr w:type="spellStart"/>
      <w:r w:rsidRPr="00064B09">
        <w:rPr>
          <w:sz w:val="18"/>
          <w:szCs w:val="18"/>
        </w:rPr>
        <w:t>sulfonyl</w:t>
      </w:r>
      <w:proofErr w:type="spellEnd"/>
      <w:r w:rsidRPr="00064B09">
        <w:rPr>
          <w:sz w:val="18"/>
          <w:szCs w:val="18"/>
        </w:rPr>
        <w:t xml:space="preserve"> fluoride (POSF) in surface treatment and coatings;1</w:t>
      </w:r>
    </w:p>
    <w:p w:rsidR="005A1A7A" w:rsidRPr="00064B09" w:rsidRDefault="005A1A7A" w:rsidP="00C96EFD">
      <w:pPr>
        <w:pStyle w:val="Testonotaapidipagina"/>
        <w:numPr>
          <w:ilvl w:val="0"/>
          <w:numId w:val="11"/>
        </w:numPr>
        <w:rPr>
          <w:sz w:val="18"/>
          <w:szCs w:val="18"/>
        </w:rPr>
      </w:pPr>
      <w:r w:rsidRPr="00064B09">
        <w:rPr>
          <w:sz w:val="18"/>
          <w:szCs w:val="18"/>
        </w:rPr>
        <w:t xml:space="preserve">mono- and </w:t>
      </w:r>
      <w:proofErr w:type="spellStart"/>
      <w:r w:rsidRPr="00064B09">
        <w:rPr>
          <w:sz w:val="18"/>
          <w:szCs w:val="18"/>
        </w:rPr>
        <w:t>polyfluorinated</w:t>
      </w:r>
      <w:proofErr w:type="spellEnd"/>
      <w:r w:rsidRPr="00064B09">
        <w:rPr>
          <w:sz w:val="18"/>
          <w:szCs w:val="18"/>
        </w:rPr>
        <w:t xml:space="preserve">-ether-functionality compounds (e.g., </w:t>
      </w:r>
      <w:proofErr w:type="spellStart"/>
      <w:r w:rsidRPr="00064B09">
        <w:rPr>
          <w:sz w:val="18"/>
          <w:szCs w:val="18"/>
        </w:rPr>
        <w:t>polyfluoroalkyl</w:t>
      </w:r>
      <w:proofErr w:type="spellEnd"/>
      <w:r w:rsidRPr="00064B09">
        <w:rPr>
          <w:sz w:val="18"/>
          <w:szCs w:val="18"/>
        </w:rPr>
        <w:t xml:space="preserve"> ether carboxylic acids are alternative processing aids for </w:t>
      </w:r>
      <w:proofErr w:type="spellStart"/>
      <w:r w:rsidRPr="00064B09">
        <w:rPr>
          <w:sz w:val="18"/>
          <w:szCs w:val="18"/>
        </w:rPr>
        <w:t>fluoropolymer</w:t>
      </w:r>
      <w:proofErr w:type="spellEnd"/>
      <w:r w:rsidRPr="00064B09">
        <w:rPr>
          <w:sz w:val="18"/>
          <w:szCs w:val="18"/>
        </w:rPr>
        <w:t xml:space="preserve"> manufacturing);</w:t>
      </w:r>
    </w:p>
    <w:p w:rsidR="005A1A7A" w:rsidRPr="00064B09" w:rsidRDefault="005A1A7A" w:rsidP="00C96EFD">
      <w:pPr>
        <w:pStyle w:val="Testonotaapidipagina"/>
        <w:numPr>
          <w:ilvl w:val="0"/>
          <w:numId w:val="11"/>
        </w:numPr>
        <w:rPr>
          <w:sz w:val="18"/>
          <w:szCs w:val="18"/>
        </w:rPr>
      </w:pPr>
      <w:r w:rsidRPr="00064B09">
        <w:rPr>
          <w:sz w:val="18"/>
          <w:szCs w:val="18"/>
        </w:rPr>
        <w:t xml:space="preserve">fluorinated </w:t>
      </w:r>
      <w:proofErr w:type="spellStart"/>
      <w:r w:rsidRPr="00064B09">
        <w:rPr>
          <w:sz w:val="18"/>
          <w:szCs w:val="18"/>
        </w:rPr>
        <w:t>oxetanes</w:t>
      </w:r>
      <w:proofErr w:type="spellEnd"/>
      <w:r w:rsidRPr="00064B09">
        <w:rPr>
          <w:sz w:val="18"/>
          <w:szCs w:val="18"/>
        </w:rPr>
        <w:t>;</w:t>
      </w:r>
    </w:p>
    <w:p w:rsidR="005A1A7A" w:rsidRPr="00064B09" w:rsidRDefault="005A1A7A" w:rsidP="00C96EFD">
      <w:pPr>
        <w:pStyle w:val="Testonotaapidipagina"/>
        <w:numPr>
          <w:ilvl w:val="0"/>
          <w:numId w:val="11"/>
        </w:numPr>
        <w:rPr>
          <w:sz w:val="18"/>
          <w:szCs w:val="18"/>
        </w:rPr>
      </w:pPr>
      <w:r w:rsidRPr="00064B09">
        <w:rPr>
          <w:sz w:val="18"/>
          <w:szCs w:val="18"/>
        </w:rPr>
        <w:t xml:space="preserve">other fluorinated polymers. </w:t>
      </w:r>
    </w:p>
    <w:p w:rsidR="005A1A7A" w:rsidRPr="002B137E" w:rsidRDefault="005A1A7A" w:rsidP="00B10D30">
      <w:pPr>
        <w:pStyle w:val="Testonotaapidipagina"/>
        <w:ind w:left="720"/>
      </w:pPr>
    </w:p>
  </w:footnote>
  <w:footnote w:id="2">
    <w:p w:rsidR="005A1A7A" w:rsidRPr="00064B09" w:rsidRDefault="005A1A7A" w:rsidP="00B10D30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jc w:val="left"/>
        <w:rPr>
          <w:sz w:val="18"/>
          <w:szCs w:val="18"/>
          <w:lang w:eastAsia="en-US"/>
        </w:rPr>
      </w:pPr>
      <w:r>
        <w:rPr>
          <w:rStyle w:val="Rimandonotaapidipagina"/>
        </w:rPr>
        <w:footnoteRef/>
      </w:r>
      <w:r>
        <w:t xml:space="preserve">  </w:t>
      </w:r>
      <w:r>
        <w:tab/>
      </w:r>
      <w:r w:rsidRPr="00064B09">
        <w:rPr>
          <w:sz w:val="18"/>
          <w:szCs w:val="18"/>
        </w:rPr>
        <w:t xml:space="preserve">Non chemical alternatives are for example </w:t>
      </w:r>
      <w:r w:rsidRPr="00064B09">
        <w:rPr>
          <w:sz w:val="18"/>
          <w:szCs w:val="18"/>
          <w:lang w:eastAsia="en-US"/>
        </w:rPr>
        <w:t xml:space="preserve">process changes that eliminate the use of the chemical of concern, provide the function of the chemical through other means (e.g. physical </w:t>
      </w:r>
      <w:proofErr w:type="spellStart"/>
      <w:r w:rsidRPr="00064B09">
        <w:rPr>
          <w:sz w:val="18"/>
          <w:szCs w:val="18"/>
          <w:lang w:eastAsia="en-US"/>
        </w:rPr>
        <w:t>vs</w:t>
      </w:r>
      <w:proofErr w:type="spellEnd"/>
      <w:r w:rsidRPr="00064B09">
        <w:rPr>
          <w:sz w:val="18"/>
          <w:szCs w:val="18"/>
          <w:lang w:eastAsia="en-US"/>
        </w:rPr>
        <w:t xml:space="preserve"> chemical abrasion) or a redesign that obviates the need for the chemical of interest. </w:t>
      </w:r>
    </w:p>
  </w:footnote>
  <w:footnote w:id="3">
    <w:p w:rsidR="004A211F" w:rsidRDefault="004A21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4411">
        <w:tab/>
      </w:r>
      <w:r>
        <w:t>T</w:t>
      </w:r>
      <w:r w:rsidRPr="00484411">
        <w:t xml:space="preserve">he </w:t>
      </w:r>
      <w:r>
        <w:t xml:space="preserve">respondent can refer to the newly released OECD  </w:t>
      </w:r>
      <w:hyperlink r:id="rId2" w:tgtFrame="_blank" w:history="1">
        <w:r>
          <w:rPr>
            <w:rStyle w:val="Collegamentoipertestuale"/>
          </w:rPr>
          <w:t xml:space="preserve">Database of Per- and </w:t>
        </w:r>
        <w:proofErr w:type="spellStart"/>
        <w:r>
          <w:rPr>
            <w:rStyle w:val="Collegamentoipertestuale"/>
          </w:rPr>
          <w:t>Polyfluoroalkyl</w:t>
        </w:r>
        <w:proofErr w:type="spellEnd"/>
        <w:r>
          <w:rPr>
            <w:rStyle w:val="Collegamentoipertestuale"/>
          </w:rPr>
          <w:t xml:space="preserve"> Substances (PFASs)</w:t>
        </w:r>
      </w:hyperlink>
      <w:r>
        <w:t>;</w:t>
      </w:r>
    </w:p>
    <w:p w:rsidR="004A211F" w:rsidRPr="00484411" w:rsidRDefault="004A211F">
      <w:pPr>
        <w:pStyle w:val="Testonotaapidipagina"/>
      </w:pPr>
    </w:p>
  </w:footnote>
  <w:footnote w:id="4">
    <w:p w:rsidR="004A211F" w:rsidRPr="0004225F" w:rsidRDefault="004A211F" w:rsidP="000422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For your description, please refer to Table 2 “</w:t>
      </w:r>
      <w:r w:rsidRPr="0004225F">
        <w:rPr>
          <w:bCs/>
          <w:i/>
          <w:sz w:val="22"/>
          <w:szCs w:val="22"/>
        </w:rPr>
        <w:t>Functional Use Categories and Definitions</w:t>
      </w:r>
      <w:r>
        <w:rPr>
          <w:bCs/>
          <w:sz w:val="22"/>
          <w:szCs w:val="22"/>
        </w:rPr>
        <w:t>”</w:t>
      </w:r>
      <w:r>
        <w:t xml:space="preserve"> of the Internationally Harmonised Functional, Product and Article Use Categories,  </w:t>
      </w:r>
      <w:hyperlink r:id="rId3" w:history="1">
        <w:r>
          <w:rPr>
            <w:rStyle w:val="Collegamentoipertestuale"/>
          </w:rPr>
          <w:t>http://www.oecd.org/officialdocuments/publicdisplaydocumentpdf/?cote=env/jm/mono(2017)14&amp;doclanguage=en</w:t>
        </w:r>
      </w:hyperlink>
    </w:p>
    <w:p w:rsidR="004A211F" w:rsidRPr="0004225F" w:rsidRDefault="004A211F">
      <w:pPr>
        <w:pStyle w:val="Testonotaapidipagina"/>
      </w:pPr>
    </w:p>
  </w:footnote>
  <w:footnote w:id="5">
    <w:p w:rsidR="004A211F" w:rsidRPr="0004225F" w:rsidRDefault="004A21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For your description, please refer to Section 3 “</w:t>
      </w:r>
      <w:r w:rsidRPr="0004225F">
        <w:rPr>
          <w:i/>
        </w:rPr>
        <w:t>Product and Article Use Categories</w:t>
      </w:r>
      <w:r>
        <w:rPr>
          <w:i/>
        </w:rPr>
        <w:t xml:space="preserve">” </w:t>
      </w:r>
      <w:r>
        <w:t xml:space="preserve">of the Internationally Harmonised Functional, Product and Article Use Categories,  </w:t>
      </w:r>
      <w:hyperlink r:id="rId4" w:history="1">
        <w:r>
          <w:rPr>
            <w:rStyle w:val="Collegamentoipertestuale"/>
          </w:rPr>
          <w:t>http://www.oecd.org/officialdocuments/publicdisplaydocumentpdf/?cote=env/jm/mono(2017)14&amp;doclanguage=en</w:t>
        </w:r>
      </w:hyperlink>
    </w:p>
  </w:footnote>
  <w:footnote w:id="6">
    <w:p w:rsidR="004A211F" w:rsidRPr="0004225F" w:rsidRDefault="004A211F" w:rsidP="004A21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For your description, please refer to Table 2 “</w:t>
      </w:r>
      <w:r w:rsidRPr="0004225F">
        <w:rPr>
          <w:bCs/>
          <w:i/>
          <w:sz w:val="22"/>
          <w:szCs w:val="22"/>
        </w:rPr>
        <w:t>Functional Use Categories and Definitions</w:t>
      </w:r>
      <w:r>
        <w:rPr>
          <w:bCs/>
          <w:sz w:val="22"/>
          <w:szCs w:val="22"/>
        </w:rPr>
        <w:t>”</w:t>
      </w:r>
      <w:r>
        <w:t xml:space="preserve"> of the Internationally Harmonised Functional, Product and Article Use Categories,  </w:t>
      </w:r>
      <w:hyperlink r:id="rId5" w:history="1">
        <w:r>
          <w:rPr>
            <w:rStyle w:val="Collegamentoipertestuale"/>
          </w:rPr>
          <w:t>http://www.oecd.org/officialdocuments/publicdisplaydocumentpdf/?cote=env/jm/mono(2017)14&amp;doclanguage=en</w:t>
        </w:r>
      </w:hyperlink>
    </w:p>
    <w:p w:rsidR="004A211F" w:rsidRPr="0004225F" w:rsidRDefault="004A211F" w:rsidP="004A211F">
      <w:pPr>
        <w:pStyle w:val="Testonotaapidipagina"/>
      </w:pPr>
    </w:p>
  </w:footnote>
  <w:footnote w:id="7">
    <w:p w:rsidR="004A211F" w:rsidRPr="0004225F" w:rsidRDefault="004A211F" w:rsidP="004A21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For your description, please refer to Section 3 “</w:t>
      </w:r>
      <w:r w:rsidRPr="0004225F">
        <w:rPr>
          <w:i/>
        </w:rPr>
        <w:t>Product and Article Use Categories</w:t>
      </w:r>
      <w:r>
        <w:rPr>
          <w:i/>
        </w:rPr>
        <w:t xml:space="preserve">” </w:t>
      </w:r>
      <w:r>
        <w:t xml:space="preserve">of the Internationally Harmonised Functional, Product and Article Use Categories,  </w:t>
      </w:r>
      <w:hyperlink r:id="rId6" w:history="1">
        <w:r>
          <w:rPr>
            <w:rStyle w:val="Collegamentoipertestuale"/>
          </w:rPr>
          <w:t>http://www.oecd.org/officialdocuments/publicdisplaydocumentpdf/?cote=env/jm/mono(2017)14&amp;doclanguage=en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A" w:rsidRDefault="005A1A7A" w:rsidP="0007685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24"/>
    <w:multiLevelType w:val="hybridMultilevel"/>
    <w:tmpl w:val="2AC6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D27"/>
    <w:multiLevelType w:val="hybridMultilevel"/>
    <w:tmpl w:val="8F28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6D9A"/>
    <w:multiLevelType w:val="hybridMultilevel"/>
    <w:tmpl w:val="91E21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70FF4"/>
    <w:multiLevelType w:val="hybridMultilevel"/>
    <w:tmpl w:val="666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179B"/>
    <w:multiLevelType w:val="hybridMultilevel"/>
    <w:tmpl w:val="B434A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83DA1"/>
    <w:multiLevelType w:val="hybridMultilevel"/>
    <w:tmpl w:val="EE2C93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FF2FB02">
      <w:start w:val="1"/>
      <w:numFmt w:val="bullet"/>
      <w:lvlText w:val="●"/>
      <w:lvlJc w:val="left"/>
      <w:pPr>
        <w:ind w:left="108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D3B03"/>
    <w:multiLevelType w:val="hybridMultilevel"/>
    <w:tmpl w:val="B85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CF2"/>
    <w:multiLevelType w:val="hybridMultilevel"/>
    <w:tmpl w:val="0C9AE092"/>
    <w:lvl w:ilvl="0" w:tplc="587E5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5DBA"/>
    <w:multiLevelType w:val="hybridMultilevel"/>
    <w:tmpl w:val="F8C4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13A1"/>
    <w:multiLevelType w:val="hybridMultilevel"/>
    <w:tmpl w:val="9B80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5182B"/>
    <w:multiLevelType w:val="hybridMultilevel"/>
    <w:tmpl w:val="E35A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D2AE5"/>
    <w:multiLevelType w:val="hybridMultilevel"/>
    <w:tmpl w:val="859E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218C1"/>
    <w:multiLevelType w:val="hybridMultilevel"/>
    <w:tmpl w:val="80DCE060"/>
    <w:lvl w:ilvl="0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7967E47"/>
    <w:multiLevelType w:val="hybridMultilevel"/>
    <w:tmpl w:val="A20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B6AB1"/>
    <w:multiLevelType w:val="hybridMultilevel"/>
    <w:tmpl w:val="C79C5E28"/>
    <w:lvl w:ilvl="0" w:tplc="3376B0D0">
      <w:start w:val="1"/>
      <w:numFmt w:val="bullet"/>
      <w:lvlText w:val="‒"/>
      <w:lvlJc w:val="left"/>
      <w:pPr>
        <w:ind w:left="25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27E97"/>
    <w:rsid w:val="00005A32"/>
    <w:rsid w:val="000147D6"/>
    <w:rsid w:val="000154AA"/>
    <w:rsid w:val="00034E8C"/>
    <w:rsid w:val="00034F1B"/>
    <w:rsid w:val="0004225F"/>
    <w:rsid w:val="00056818"/>
    <w:rsid w:val="00062C28"/>
    <w:rsid w:val="00064B09"/>
    <w:rsid w:val="00070453"/>
    <w:rsid w:val="00075A25"/>
    <w:rsid w:val="0007685E"/>
    <w:rsid w:val="000A643E"/>
    <w:rsid w:val="000B61CA"/>
    <w:rsid w:val="000D4A63"/>
    <w:rsid w:val="00126587"/>
    <w:rsid w:val="00133FAE"/>
    <w:rsid w:val="00160F6B"/>
    <w:rsid w:val="001760ED"/>
    <w:rsid w:val="001B328B"/>
    <w:rsid w:val="001F06E7"/>
    <w:rsid w:val="0024273C"/>
    <w:rsid w:val="0024352C"/>
    <w:rsid w:val="002625D8"/>
    <w:rsid w:val="00285E6B"/>
    <w:rsid w:val="00286110"/>
    <w:rsid w:val="0029646F"/>
    <w:rsid w:val="00297C94"/>
    <w:rsid w:val="002B137E"/>
    <w:rsid w:val="002D0241"/>
    <w:rsid w:val="002D2446"/>
    <w:rsid w:val="002E547F"/>
    <w:rsid w:val="002E5FD1"/>
    <w:rsid w:val="00302F18"/>
    <w:rsid w:val="003033B5"/>
    <w:rsid w:val="00343FB0"/>
    <w:rsid w:val="00351325"/>
    <w:rsid w:val="00352490"/>
    <w:rsid w:val="00365433"/>
    <w:rsid w:val="003978FB"/>
    <w:rsid w:val="003A71F5"/>
    <w:rsid w:val="003B0F4B"/>
    <w:rsid w:val="003C1C3D"/>
    <w:rsid w:val="003E5468"/>
    <w:rsid w:val="003E65FF"/>
    <w:rsid w:val="00444F62"/>
    <w:rsid w:val="00457EC8"/>
    <w:rsid w:val="00461FF8"/>
    <w:rsid w:val="00463667"/>
    <w:rsid w:val="004809CE"/>
    <w:rsid w:val="00484411"/>
    <w:rsid w:val="00484B45"/>
    <w:rsid w:val="00485714"/>
    <w:rsid w:val="00495A08"/>
    <w:rsid w:val="004A211F"/>
    <w:rsid w:val="004C6C32"/>
    <w:rsid w:val="004D3023"/>
    <w:rsid w:val="004E39B1"/>
    <w:rsid w:val="004E427E"/>
    <w:rsid w:val="004F5D9D"/>
    <w:rsid w:val="004F7948"/>
    <w:rsid w:val="005303AA"/>
    <w:rsid w:val="00536753"/>
    <w:rsid w:val="0056777B"/>
    <w:rsid w:val="00567E91"/>
    <w:rsid w:val="005724DD"/>
    <w:rsid w:val="005752B6"/>
    <w:rsid w:val="005A1A7A"/>
    <w:rsid w:val="005A6AC8"/>
    <w:rsid w:val="005B0B0F"/>
    <w:rsid w:val="005E7FAE"/>
    <w:rsid w:val="005F606B"/>
    <w:rsid w:val="00606AE7"/>
    <w:rsid w:val="00607D79"/>
    <w:rsid w:val="00612837"/>
    <w:rsid w:val="0062235C"/>
    <w:rsid w:val="00655545"/>
    <w:rsid w:val="006568C3"/>
    <w:rsid w:val="006569E1"/>
    <w:rsid w:val="006B064B"/>
    <w:rsid w:val="006B22F6"/>
    <w:rsid w:val="006D25C6"/>
    <w:rsid w:val="006D6039"/>
    <w:rsid w:val="006F524D"/>
    <w:rsid w:val="00706A7D"/>
    <w:rsid w:val="00722AD1"/>
    <w:rsid w:val="00727E97"/>
    <w:rsid w:val="007332F2"/>
    <w:rsid w:val="00760F1C"/>
    <w:rsid w:val="00762FD1"/>
    <w:rsid w:val="0077239F"/>
    <w:rsid w:val="007A2E4C"/>
    <w:rsid w:val="007D0053"/>
    <w:rsid w:val="007F22B3"/>
    <w:rsid w:val="007F770B"/>
    <w:rsid w:val="008102B2"/>
    <w:rsid w:val="008302F7"/>
    <w:rsid w:val="00845334"/>
    <w:rsid w:val="00856650"/>
    <w:rsid w:val="0089356C"/>
    <w:rsid w:val="008A5C28"/>
    <w:rsid w:val="008C70C0"/>
    <w:rsid w:val="008D1353"/>
    <w:rsid w:val="008E4D33"/>
    <w:rsid w:val="0090412E"/>
    <w:rsid w:val="009146D3"/>
    <w:rsid w:val="0092561E"/>
    <w:rsid w:val="00930CAF"/>
    <w:rsid w:val="009339FD"/>
    <w:rsid w:val="00937F7A"/>
    <w:rsid w:val="00961C2E"/>
    <w:rsid w:val="009629BB"/>
    <w:rsid w:val="00966229"/>
    <w:rsid w:val="00973C57"/>
    <w:rsid w:val="009A77B0"/>
    <w:rsid w:val="009B0F18"/>
    <w:rsid w:val="009B346E"/>
    <w:rsid w:val="009E4166"/>
    <w:rsid w:val="009E6206"/>
    <w:rsid w:val="00A4378B"/>
    <w:rsid w:val="00A5270A"/>
    <w:rsid w:val="00A7411B"/>
    <w:rsid w:val="00AA101B"/>
    <w:rsid w:val="00AB75DC"/>
    <w:rsid w:val="00AF3E72"/>
    <w:rsid w:val="00B0539C"/>
    <w:rsid w:val="00B10D30"/>
    <w:rsid w:val="00B165A3"/>
    <w:rsid w:val="00B21759"/>
    <w:rsid w:val="00B30C57"/>
    <w:rsid w:val="00B55981"/>
    <w:rsid w:val="00B731DC"/>
    <w:rsid w:val="00BC7DDC"/>
    <w:rsid w:val="00BD0FC4"/>
    <w:rsid w:val="00BE1904"/>
    <w:rsid w:val="00C23122"/>
    <w:rsid w:val="00C2439D"/>
    <w:rsid w:val="00C2452F"/>
    <w:rsid w:val="00C418C4"/>
    <w:rsid w:val="00C43085"/>
    <w:rsid w:val="00C50B1B"/>
    <w:rsid w:val="00C64092"/>
    <w:rsid w:val="00C643BA"/>
    <w:rsid w:val="00C7180B"/>
    <w:rsid w:val="00C875A3"/>
    <w:rsid w:val="00C96EFD"/>
    <w:rsid w:val="00CB5626"/>
    <w:rsid w:val="00CD0E61"/>
    <w:rsid w:val="00CF5291"/>
    <w:rsid w:val="00D3385E"/>
    <w:rsid w:val="00D3508F"/>
    <w:rsid w:val="00D41C5A"/>
    <w:rsid w:val="00D51212"/>
    <w:rsid w:val="00D83542"/>
    <w:rsid w:val="00DA1E55"/>
    <w:rsid w:val="00DA24E6"/>
    <w:rsid w:val="00DB4DAC"/>
    <w:rsid w:val="00DD52A9"/>
    <w:rsid w:val="00DD79E0"/>
    <w:rsid w:val="00DE1078"/>
    <w:rsid w:val="00E05BAA"/>
    <w:rsid w:val="00E53651"/>
    <w:rsid w:val="00E54F70"/>
    <w:rsid w:val="00E55B06"/>
    <w:rsid w:val="00E71862"/>
    <w:rsid w:val="00E81F24"/>
    <w:rsid w:val="00E86B0C"/>
    <w:rsid w:val="00E9608D"/>
    <w:rsid w:val="00EE1FE9"/>
    <w:rsid w:val="00EE2CC6"/>
    <w:rsid w:val="00EE6439"/>
    <w:rsid w:val="00F23E69"/>
    <w:rsid w:val="00F572C7"/>
    <w:rsid w:val="00F6738B"/>
    <w:rsid w:val="00F756AF"/>
    <w:rsid w:val="00FD2F6E"/>
    <w:rsid w:val="00FD4AE4"/>
    <w:rsid w:val="00FE617C"/>
    <w:rsid w:val="00FF0F89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Titolo2">
    <w:name w:val="heading 2"/>
    <w:basedOn w:val="Normale"/>
    <w:next w:val="Normale"/>
    <w:link w:val="Titolo2Carattere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DD52A9"/>
    <w:pPr>
      <w:spacing w:before="240" w:after="24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D52A9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DD52A9"/>
    <w:rPr>
      <w:b/>
      <w:bCs/>
      <w:sz w:val="22"/>
      <w:szCs w:val="22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DD52A9"/>
    <w:rPr>
      <w:i/>
      <w:iCs/>
      <w:sz w:val="22"/>
      <w:szCs w:val="22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DD52A9"/>
    <w:rPr>
      <w:sz w:val="22"/>
      <w:szCs w:val="22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DD52A9"/>
    <w:rPr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DD52A9"/>
    <w:rPr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DD52A9"/>
    <w:rPr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DD52A9"/>
    <w:rPr>
      <w:rFonts w:ascii="Arial" w:hAnsi="Arial" w:cs="Arial"/>
      <w:sz w:val="22"/>
      <w:szCs w:val="22"/>
      <w:lang w:val="en-GB" w:eastAsia="zh-CN"/>
    </w:rPr>
  </w:style>
  <w:style w:type="paragraph" w:styleId="Sommario1">
    <w:name w:val="toc 1"/>
    <w:basedOn w:val="Normale"/>
    <w:next w:val="Normale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Sommario2">
    <w:name w:val="toc 2"/>
    <w:basedOn w:val="Normale"/>
    <w:next w:val="Normale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Sommario3">
    <w:name w:val="toc 3"/>
    <w:basedOn w:val="Normale"/>
    <w:next w:val="Normale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Sommario4">
    <w:name w:val="toc 4"/>
    <w:basedOn w:val="Normale"/>
    <w:next w:val="Normale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Sommario5">
    <w:name w:val="toc 5"/>
    <w:basedOn w:val="Normale"/>
    <w:next w:val="Normale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Sommario6">
    <w:name w:val="toc 6"/>
    <w:basedOn w:val="Normale"/>
    <w:next w:val="Normale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Sommario7">
    <w:name w:val="toc 7"/>
    <w:basedOn w:val="Normale"/>
    <w:next w:val="Normale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Sommario8">
    <w:name w:val="toc 8"/>
    <w:basedOn w:val="Normale"/>
    <w:next w:val="Normale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Sommario9">
    <w:name w:val="toc 9"/>
    <w:basedOn w:val="Normale"/>
    <w:next w:val="Normale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Didascalia">
    <w:name w:val="caption"/>
    <w:basedOn w:val="Normale"/>
    <w:next w:val="Normale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ottotitolo">
    <w:name w:val="Subtitle"/>
    <w:basedOn w:val="Normale"/>
    <w:link w:val="SottotitoloCarattere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D52A9"/>
    <w:rPr>
      <w:rFonts w:ascii="Arial" w:hAnsi="Arial" w:cs="Arial"/>
      <w:sz w:val="24"/>
      <w:szCs w:val="24"/>
      <w:lang w:val="en-GB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039"/>
    <w:rPr>
      <w:sz w:val="22"/>
      <w:szCs w:val="22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039"/>
    <w:rPr>
      <w:sz w:val="22"/>
      <w:szCs w:val="22"/>
      <w:lang w:val="en-GB" w:eastAsia="zh-CN"/>
    </w:rPr>
  </w:style>
  <w:style w:type="paragraph" w:styleId="Paragrafoelenco">
    <w:name w:val="List Paragraph"/>
    <w:basedOn w:val="Normale"/>
    <w:uiPriority w:val="34"/>
    <w:qFormat/>
    <w:rsid w:val="009B0F18"/>
    <w:pPr>
      <w:tabs>
        <w:tab w:val="clear" w:pos="850"/>
        <w:tab w:val="left" w:pos="851"/>
      </w:tabs>
      <w:ind w:left="720"/>
      <w:contextualSpacing/>
      <w:jc w:val="left"/>
    </w:pPr>
    <w:rPr>
      <w:rFonts w:ascii="Times" w:eastAsia="Times New Roman" w:hAnsi="Times"/>
      <w:szCs w:val="20"/>
      <w:lang w:eastAsia="en-US"/>
    </w:rPr>
  </w:style>
  <w:style w:type="table" w:styleId="Grigliatabella">
    <w:name w:val="Table Grid"/>
    <w:basedOn w:val="Tabellanormale"/>
    <w:uiPriority w:val="59"/>
    <w:rsid w:val="0024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33F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3FAE"/>
    <w:rPr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3FAE"/>
    <w:rPr>
      <w:vertAlign w:val="superscript"/>
    </w:rPr>
  </w:style>
  <w:style w:type="paragraph" w:customStyle="1" w:styleId="Num-DocParagraph">
    <w:name w:val="Num-Doc Paragraph"/>
    <w:basedOn w:val="Corpodeltesto"/>
    <w:rsid w:val="002E5FD1"/>
    <w:pPr>
      <w:tabs>
        <w:tab w:val="clear" w:pos="850"/>
        <w:tab w:val="clear" w:pos="1191"/>
        <w:tab w:val="clear" w:pos="1531"/>
      </w:tabs>
      <w:suppressAutoHyphens/>
      <w:spacing w:after="240" w:line="276" w:lineRule="auto"/>
      <w:jc w:val="left"/>
    </w:pPr>
    <w:rPr>
      <w:rFonts w:asciiTheme="minorHAnsi" w:eastAsia="Times New Roman" w:hAnsiTheme="minorHAnsi" w:cstheme="minorBidi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E5FD1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2E5FD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E5FD1"/>
    <w:rPr>
      <w:sz w:val="22"/>
      <w:szCs w:val="22"/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B217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7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1759"/>
    <w:rPr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7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759"/>
    <w:rPr>
      <w:b/>
      <w:bCs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7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759"/>
    <w:rPr>
      <w:rFonts w:ascii="Tahoma" w:hAnsi="Tahoma" w:cs="Tahoma"/>
      <w:sz w:val="16"/>
      <w:szCs w:val="16"/>
      <w:lang w:val="en-GB" w:eastAsia="zh-C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B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4B09"/>
    <w:rPr>
      <w:i/>
      <w:iCs/>
      <w:color w:val="4F81BD" w:themeColor="accent1"/>
      <w:sz w:val="22"/>
      <w:szCs w:val="22"/>
      <w:lang w:val="en-GB"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-ange.baucher@oecd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officialdocuments/publicdisplaydocumentpdf/?cote=env/jm/mono(2017)14&amp;doclanguage=en" TargetMode="External"/><Relationship Id="rId2" Type="http://schemas.openxmlformats.org/officeDocument/2006/relationships/hyperlink" Target="http://www.oecd.org/chemicalsafety/risk-management/global-database-of-per-and-polyfluoroalkyl-substances.xlsx" TargetMode="External"/><Relationship Id="rId1" Type="http://schemas.openxmlformats.org/officeDocument/2006/relationships/hyperlink" Target="https://www.oecd.org/env/ehs/risk-management/PFC_FINAL-Web.pdf" TargetMode="External"/><Relationship Id="rId6" Type="http://schemas.openxmlformats.org/officeDocument/2006/relationships/hyperlink" Target="http://www.oecd.org/officialdocuments/publicdisplaydocumentpdf/?cote=env/jm/mono(2017)14&amp;doclanguage=en" TargetMode="External"/><Relationship Id="rId5" Type="http://schemas.openxmlformats.org/officeDocument/2006/relationships/hyperlink" Target="http://www.oecd.org/officialdocuments/publicdisplaydocumentpdf/?cote=env/jm/mono(2017)14&amp;doclanguage=en" TargetMode="External"/><Relationship Id="rId4" Type="http://schemas.openxmlformats.org/officeDocument/2006/relationships/hyperlink" Target="http://www.oecd.org/officialdocuments/publicdisplaydocumentpdf/?cote=env/jm/mono(2017)14&amp;doc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3BAE-3F09-4B7B-A8A4-90BA7747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BAUCHER Marie-Ange</dc:creator>
  <cp:lastModifiedBy>Irene</cp:lastModifiedBy>
  <cp:revision>2</cp:revision>
  <dcterms:created xsi:type="dcterms:W3CDTF">2020-10-20T09:29:00Z</dcterms:created>
  <dcterms:modified xsi:type="dcterms:W3CDTF">2020-10-20T09:29:00Z</dcterms:modified>
</cp:coreProperties>
</file>